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0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2306"/>
        <w:gridCol w:w="302"/>
        <w:gridCol w:w="2456"/>
        <w:gridCol w:w="2867"/>
      </w:tblGrid>
      <w:tr w:rsidR="00690BCC" w:rsidRPr="00E1388F" w14:paraId="40A7A460" w14:textId="77777777" w:rsidTr="00B46D76">
        <w:trPr>
          <w:trHeight w:val="300"/>
          <w:tblCellSpacing w:w="20" w:type="dxa"/>
        </w:trPr>
        <w:tc>
          <w:tcPr>
            <w:tcW w:w="10520" w:type="dxa"/>
            <w:gridSpan w:val="5"/>
            <w:shd w:val="clear" w:color="000000" w:fill="8B1D31"/>
            <w:noWrap/>
            <w:vAlign w:val="bottom"/>
            <w:hideMark/>
          </w:tcPr>
          <w:p w14:paraId="721592A4" w14:textId="77777777" w:rsidR="00E1388F" w:rsidRPr="00E1388F" w:rsidRDefault="00E1388F" w:rsidP="00E1388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s-MX"/>
              </w:rPr>
            </w:pPr>
            <w:r w:rsidRPr="00E1388F">
              <w:rPr>
                <w:rFonts w:eastAsia="Times New Roman"/>
                <w:b/>
                <w:bCs/>
                <w:color w:val="FFFFFF"/>
                <w:lang w:eastAsia="es-MX"/>
              </w:rPr>
              <w:t>1. Descripción de la Evaluación</w:t>
            </w:r>
          </w:p>
        </w:tc>
      </w:tr>
      <w:tr w:rsidR="00690BCC" w:rsidRPr="00E1388F" w14:paraId="615B5D27" w14:textId="77777777" w:rsidTr="00B46D76">
        <w:trPr>
          <w:trHeight w:val="390"/>
          <w:tblCellSpacing w:w="20" w:type="dxa"/>
        </w:trPr>
        <w:tc>
          <w:tcPr>
            <w:tcW w:w="10520" w:type="dxa"/>
            <w:gridSpan w:val="5"/>
            <w:shd w:val="clear" w:color="000000" w:fill="FFFFFF"/>
            <w:noWrap/>
            <w:hideMark/>
          </w:tcPr>
          <w:p w14:paraId="7A59C805" w14:textId="7339FEAF" w:rsidR="00E1388F" w:rsidRPr="00F26D0B" w:rsidRDefault="00E1388F" w:rsidP="00FB4127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1.1 Nombre de la Evaluación:</w:t>
            </w:r>
            <w:r w:rsidR="002D1AFC" w:rsidRPr="00F26D0B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657800">
              <w:rPr>
                <w:rFonts w:cstheme="minorHAnsi"/>
              </w:rPr>
              <w:t>Evaluación del D</w:t>
            </w:r>
            <w:r w:rsidR="00FB4127">
              <w:rPr>
                <w:rFonts w:cstheme="minorHAnsi"/>
              </w:rPr>
              <w:t>esempeño</w:t>
            </w:r>
          </w:p>
        </w:tc>
      </w:tr>
      <w:tr w:rsidR="00690BCC" w:rsidRPr="00E1388F" w14:paraId="0143AF66" w14:textId="77777777" w:rsidTr="00B46D76">
        <w:trPr>
          <w:trHeight w:val="390"/>
          <w:tblCellSpacing w:w="20" w:type="dxa"/>
        </w:trPr>
        <w:tc>
          <w:tcPr>
            <w:tcW w:w="10520" w:type="dxa"/>
            <w:gridSpan w:val="5"/>
            <w:shd w:val="clear" w:color="000000" w:fill="FFFFFF"/>
            <w:noWrap/>
            <w:hideMark/>
          </w:tcPr>
          <w:p w14:paraId="09118C65" w14:textId="51DB2F5E" w:rsidR="00E1388F" w:rsidRPr="006005B6" w:rsidRDefault="00E1388F" w:rsidP="00FB4127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1.2 Fecha de Inicio de la Evaluación (</w:t>
            </w:r>
            <w:proofErr w:type="spellStart"/>
            <w:r w:rsidRPr="00F26D0B">
              <w:rPr>
                <w:rFonts w:eastAsia="Times New Roman"/>
                <w:b/>
                <w:color w:val="000000"/>
                <w:lang w:eastAsia="es-MX"/>
              </w:rPr>
              <w:t>dd</w:t>
            </w:r>
            <w:proofErr w:type="spellEnd"/>
            <w:r w:rsidRPr="00F26D0B">
              <w:rPr>
                <w:rFonts w:eastAsia="Times New Roman"/>
                <w:b/>
                <w:color w:val="000000"/>
                <w:lang w:eastAsia="es-MX"/>
              </w:rPr>
              <w:t>/mm/</w:t>
            </w:r>
            <w:proofErr w:type="spellStart"/>
            <w:r w:rsidRPr="00F26D0B">
              <w:rPr>
                <w:rFonts w:eastAsia="Times New Roman"/>
                <w:b/>
                <w:color w:val="000000"/>
                <w:lang w:eastAsia="es-MX"/>
              </w:rPr>
              <w:t>aaaa</w:t>
            </w:r>
            <w:proofErr w:type="spellEnd"/>
            <w:r w:rsidRPr="00F26D0B">
              <w:rPr>
                <w:rFonts w:eastAsia="Times New Roman"/>
                <w:b/>
                <w:color w:val="000000"/>
                <w:lang w:eastAsia="es-MX"/>
              </w:rPr>
              <w:t>):</w:t>
            </w:r>
            <w:r w:rsidR="00461BE6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461BE6" w:rsidRPr="00461BE6">
              <w:rPr>
                <w:rFonts w:eastAsia="Times New Roman"/>
                <w:bCs/>
                <w:color w:val="000000"/>
                <w:lang w:eastAsia="es-MX"/>
              </w:rPr>
              <w:t>31</w:t>
            </w:r>
            <w:r w:rsidR="00461BE6">
              <w:rPr>
                <w:rFonts w:eastAsia="Times New Roman"/>
                <w:bCs/>
                <w:color w:val="000000"/>
                <w:lang w:eastAsia="es-MX"/>
              </w:rPr>
              <w:t>/01/2021</w:t>
            </w:r>
          </w:p>
        </w:tc>
      </w:tr>
      <w:tr w:rsidR="00690BCC" w:rsidRPr="00E1388F" w14:paraId="236CE1AF" w14:textId="77777777" w:rsidTr="00B46D76">
        <w:trPr>
          <w:trHeight w:val="390"/>
          <w:tblCellSpacing w:w="20" w:type="dxa"/>
        </w:trPr>
        <w:tc>
          <w:tcPr>
            <w:tcW w:w="10520" w:type="dxa"/>
            <w:gridSpan w:val="5"/>
            <w:shd w:val="clear" w:color="000000" w:fill="FFFFFF"/>
            <w:noWrap/>
            <w:hideMark/>
          </w:tcPr>
          <w:p w14:paraId="1CAC9215" w14:textId="24C28EFD" w:rsidR="00E1388F" w:rsidRPr="00461BE6" w:rsidRDefault="00E1388F" w:rsidP="00FB4127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1.3 Fecha de Término de la Evaluación (</w:t>
            </w:r>
            <w:proofErr w:type="spellStart"/>
            <w:r w:rsidRPr="00F26D0B">
              <w:rPr>
                <w:rFonts w:eastAsia="Times New Roman"/>
                <w:b/>
                <w:color w:val="000000"/>
                <w:lang w:eastAsia="es-MX"/>
              </w:rPr>
              <w:t>dd</w:t>
            </w:r>
            <w:proofErr w:type="spellEnd"/>
            <w:r w:rsidRPr="00F26D0B">
              <w:rPr>
                <w:rFonts w:eastAsia="Times New Roman"/>
                <w:b/>
                <w:color w:val="000000"/>
                <w:lang w:eastAsia="es-MX"/>
              </w:rPr>
              <w:t>/mm/</w:t>
            </w:r>
            <w:proofErr w:type="spellStart"/>
            <w:r w:rsidRPr="00F26D0B">
              <w:rPr>
                <w:rFonts w:eastAsia="Times New Roman"/>
                <w:b/>
                <w:color w:val="000000"/>
                <w:lang w:eastAsia="es-MX"/>
              </w:rPr>
              <w:t>aaaa</w:t>
            </w:r>
            <w:proofErr w:type="spellEnd"/>
            <w:r w:rsidRPr="00F26D0B">
              <w:rPr>
                <w:rFonts w:eastAsia="Times New Roman"/>
                <w:b/>
                <w:color w:val="000000"/>
                <w:lang w:eastAsia="es-MX"/>
              </w:rPr>
              <w:t>):</w:t>
            </w:r>
            <w:r w:rsidR="00332B81" w:rsidRPr="00F26D0B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461BE6">
              <w:rPr>
                <w:rFonts w:eastAsia="Times New Roman"/>
                <w:bCs/>
                <w:color w:val="000000"/>
                <w:lang w:eastAsia="es-MX"/>
              </w:rPr>
              <w:t>29/02/2021</w:t>
            </w:r>
          </w:p>
        </w:tc>
      </w:tr>
      <w:tr w:rsidR="00690BCC" w:rsidRPr="00E1388F" w14:paraId="54A22C4C" w14:textId="77777777" w:rsidTr="00B46D76">
        <w:trPr>
          <w:trHeight w:val="410"/>
          <w:tblCellSpacing w:w="20" w:type="dxa"/>
        </w:trPr>
        <w:tc>
          <w:tcPr>
            <w:tcW w:w="10520" w:type="dxa"/>
            <w:gridSpan w:val="5"/>
            <w:shd w:val="clear" w:color="auto" w:fill="D9D9D9" w:themeFill="background1" w:themeFillShade="D9"/>
            <w:hideMark/>
          </w:tcPr>
          <w:p w14:paraId="231AC271" w14:textId="77777777" w:rsidR="00E1388F" w:rsidRPr="000A0543" w:rsidRDefault="00E1388F" w:rsidP="000A0543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1.4 Nombre de la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 xml:space="preserve">ersona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r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>esponsable de darle seguimiento a la eva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>lu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>ación y nombre de la unidad a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 xml:space="preserve">dministrativa a la que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>ertenece:</w:t>
            </w:r>
          </w:p>
        </w:tc>
      </w:tr>
      <w:tr w:rsidR="000A0543" w:rsidRPr="00E1388F" w14:paraId="38E1AE0B" w14:textId="77777777" w:rsidTr="00B46D76">
        <w:trPr>
          <w:trHeight w:val="405"/>
          <w:tblCellSpacing w:w="20" w:type="dxa"/>
        </w:trPr>
        <w:tc>
          <w:tcPr>
            <w:tcW w:w="4965" w:type="dxa"/>
            <w:gridSpan w:val="2"/>
            <w:shd w:val="clear" w:color="000000" w:fill="FFFFFF"/>
            <w:noWrap/>
            <w:hideMark/>
          </w:tcPr>
          <w:p w14:paraId="6C8A4D7D" w14:textId="77777777" w:rsidR="000A0543" w:rsidRPr="000A0543" w:rsidRDefault="000A0543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Nombre:</w:t>
            </w:r>
          </w:p>
          <w:p w14:paraId="10CBAFE5" w14:textId="148F6EAF" w:rsidR="000A0543" w:rsidRPr="00E1388F" w:rsidRDefault="00B46D76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José Luis Alvarado Medrano</w:t>
            </w:r>
          </w:p>
        </w:tc>
        <w:tc>
          <w:tcPr>
            <w:tcW w:w="5515" w:type="dxa"/>
            <w:gridSpan w:val="3"/>
            <w:shd w:val="clear" w:color="000000" w:fill="FFFFFF"/>
            <w:noWrap/>
            <w:hideMark/>
          </w:tcPr>
          <w:p w14:paraId="7127A4DA" w14:textId="77777777" w:rsidR="000A0543" w:rsidRPr="000A0543" w:rsidRDefault="000A0543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  <w:p w14:paraId="18EC3609" w14:textId="76DB0B4D" w:rsidR="000A0543" w:rsidRPr="00E1388F" w:rsidRDefault="00B46D76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Instituto Sinaloense para la Educación de los Adultos (ISEA)</w:t>
            </w:r>
          </w:p>
        </w:tc>
      </w:tr>
      <w:tr w:rsidR="00690BCC" w:rsidRPr="00E1388F" w14:paraId="2DADD307" w14:textId="77777777" w:rsidTr="00B46D76">
        <w:trPr>
          <w:trHeight w:val="495"/>
          <w:tblCellSpacing w:w="20" w:type="dxa"/>
        </w:trPr>
        <w:tc>
          <w:tcPr>
            <w:tcW w:w="10520" w:type="dxa"/>
            <w:gridSpan w:val="5"/>
            <w:shd w:val="clear" w:color="000000" w:fill="FFFFFF"/>
            <w:noWrap/>
            <w:hideMark/>
          </w:tcPr>
          <w:p w14:paraId="44DEAD5E" w14:textId="522FDBEF" w:rsidR="00E1388F" w:rsidRPr="00BA4A59" w:rsidRDefault="00E1388F" w:rsidP="00B46D76">
            <w:pPr>
              <w:spacing w:after="0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1.5 Objetivo General de la Evaluación:</w:t>
            </w:r>
            <w:r w:rsidR="00332B81" w:rsidRPr="00BA4A59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4127" w:rsidRPr="00FB4127">
              <w:rPr>
                <w:rFonts w:cstheme="minorHAnsi"/>
              </w:rPr>
              <w:t>Evaluar el desempeño del</w:t>
            </w:r>
            <w:r w:rsidR="00FA198F">
              <w:rPr>
                <w:rFonts w:cstheme="minorHAnsi"/>
              </w:rPr>
              <w:t xml:space="preserve"> programa </w:t>
            </w:r>
            <w:r w:rsidR="00B46D76">
              <w:rPr>
                <w:rFonts w:cstheme="minorHAnsi"/>
              </w:rPr>
              <w:t>Servicios Descentralizados para la Educación de los Adultos del ejercicio fiscal 2020, con base en la información entregada por el área responsable del programa, con una valoración de los resultados e impactos derivados del cumplimiento de las metas establecidas en el programa.</w:t>
            </w:r>
          </w:p>
        </w:tc>
      </w:tr>
      <w:tr w:rsidR="00690BCC" w:rsidRPr="00E1388F" w14:paraId="79518CEC" w14:textId="77777777" w:rsidTr="00B46D76">
        <w:trPr>
          <w:trHeight w:val="450"/>
          <w:tblCellSpacing w:w="20" w:type="dxa"/>
        </w:trPr>
        <w:tc>
          <w:tcPr>
            <w:tcW w:w="10520" w:type="dxa"/>
            <w:gridSpan w:val="5"/>
            <w:shd w:val="clear" w:color="000000" w:fill="FFFFFF"/>
            <w:noWrap/>
            <w:hideMark/>
          </w:tcPr>
          <w:p w14:paraId="00859242" w14:textId="307509FF" w:rsidR="00A631C2" w:rsidRPr="00A631C2" w:rsidRDefault="00E1388F" w:rsidP="00A631C2">
            <w:pPr>
              <w:spacing w:after="0"/>
              <w:rPr>
                <w:rFonts w:eastAsia="Times New Roman"/>
                <w:b/>
                <w:color w:val="000000"/>
                <w:lang w:eastAsia="es-MX"/>
              </w:rPr>
            </w:pPr>
            <w:r w:rsidRPr="00A631C2">
              <w:rPr>
                <w:rFonts w:eastAsia="Times New Roman"/>
                <w:b/>
                <w:color w:val="000000"/>
                <w:lang w:eastAsia="es-MX"/>
              </w:rPr>
              <w:t xml:space="preserve">1.6 Objetivos 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>Específic</w:t>
            </w:r>
            <w:r w:rsidR="00E74948">
              <w:rPr>
                <w:rFonts w:eastAsia="Times New Roman"/>
                <w:b/>
                <w:color w:val="000000"/>
                <w:lang w:eastAsia="es-MX"/>
              </w:rPr>
              <w:t>o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>s</w:t>
            </w:r>
            <w:r w:rsidRPr="00A631C2">
              <w:rPr>
                <w:rFonts w:eastAsia="Times New Roman"/>
                <w:b/>
                <w:color w:val="000000"/>
                <w:lang w:eastAsia="es-MX"/>
              </w:rPr>
              <w:t xml:space="preserve"> de la Evaluación: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  <w:p w14:paraId="635B0BDD" w14:textId="75410225" w:rsidR="00E1388F" w:rsidRPr="00B961EC" w:rsidRDefault="00B961EC" w:rsidP="00FD1DAA">
            <w:pPr>
              <w:pStyle w:val="Prrafodelista"/>
              <w:numPr>
                <w:ilvl w:val="0"/>
                <w:numId w:val="37"/>
              </w:numPr>
              <w:spacing w:after="0"/>
              <w:ind w:left="714" w:hanging="357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Identificar como se ha contribuido a la disminución del analfabetismo en el estado mediante la implementación de los </w:t>
            </w:r>
            <w:r w:rsidR="00461BE6">
              <w:rPr>
                <w:rFonts w:eastAsia="Times New Roman"/>
                <w:color w:val="000000"/>
                <w:lang w:eastAsia="es-MX"/>
              </w:rPr>
              <w:t>S</w:t>
            </w:r>
            <w:r>
              <w:rPr>
                <w:rFonts w:eastAsia="Times New Roman"/>
                <w:color w:val="000000"/>
                <w:lang w:eastAsia="es-MX"/>
              </w:rPr>
              <w:t>ervicios Descentralizados para la Educación de los Adultos.</w:t>
            </w:r>
          </w:p>
          <w:p w14:paraId="5096A9D6" w14:textId="77777777" w:rsidR="00B961EC" w:rsidRPr="00B961EC" w:rsidRDefault="00B961EC" w:rsidP="00FD1DAA">
            <w:pPr>
              <w:pStyle w:val="Prrafodelista"/>
              <w:numPr>
                <w:ilvl w:val="0"/>
                <w:numId w:val="37"/>
              </w:numPr>
              <w:spacing w:after="0"/>
              <w:ind w:left="714" w:hanging="357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Estimar el impacto generado y emitir juicios de valor respecto de los resultados obtenidos y la forma de mejorarlos.</w:t>
            </w:r>
          </w:p>
          <w:p w14:paraId="6DAACDC3" w14:textId="77777777" w:rsidR="00B961EC" w:rsidRPr="00B961EC" w:rsidRDefault="00B961EC" w:rsidP="00FD1DAA">
            <w:pPr>
              <w:pStyle w:val="Prrafodelista"/>
              <w:numPr>
                <w:ilvl w:val="0"/>
                <w:numId w:val="37"/>
              </w:numPr>
              <w:spacing w:after="0"/>
              <w:ind w:left="714" w:hanging="357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Realizar una valoración general de los resultados y productos del programa, así como el desempeño institucional en la operación del programa.</w:t>
            </w:r>
          </w:p>
          <w:p w14:paraId="68A0BBCD" w14:textId="1AB02792" w:rsidR="00B961EC" w:rsidRPr="00BA4A59" w:rsidRDefault="00B961EC" w:rsidP="00FD1DAA">
            <w:pPr>
              <w:pStyle w:val="Prrafodelista"/>
              <w:numPr>
                <w:ilvl w:val="0"/>
                <w:numId w:val="37"/>
              </w:numPr>
              <w:spacing w:after="0"/>
              <w:ind w:left="714" w:hanging="357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Identificar los principales aspectos susceptibles de mejora del programa derivados de la evaluación, así como de los hallazgos relevantes.</w:t>
            </w:r>
          </w:p>
        </w:tc>
      </w:tr>
      <w:tr w:rsidR="00690BCC" w:rsidRPr="00E1388F" w14:paraId="389AD85E" w14:textId="77777777" w:rsidTr="00B46D76">
        <w:trPr>
          <w:trHeight w:val="480"/>
          <w:tblCellSpacing w:w="20" w:type="dxa"/>
        </w:trPr>
        <w:tc>
          <w:tcPr>
            <w:tcW w:w="10520" w:type="dxa"/>
            <w:gridSpan w:val="5"/>
            <w:shd w:val="clear" w:color="000000" w:fill="FFFFFF"/>
            <w:noWrap/>
            <w:hideMark/>
          </w:tcPr>
          <w:p w14:paraId="489837B0" w14:textId="77777777" w:rsidR="00A97B59" w:rsidRDefault="00E1388F" w:rsidP="002272AA">
            <w:pPr>
              <w:spacing w:after="0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1.7 Metodología Utilizada en la Evaluación:</w:t>
            </w:r>
            <w:r w:rsidR="00332B81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  <w:p w14:paraId="165E3EC5" w14:textId="5F549DFA" w:rsidR="00E1388F" w:rsidRPr="00E1388F" w:rsidRDefault="00B634A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cstheme="minorHAnsi"/>
                <w:lang w:val="es-ES"/>
              </w:rPr>
              <w:t>Trabajo de escritorio, mediante el cumplimiento de los Términos de Referencia para la Evaluación Específica del Desempeño</w:t>
            </w:r>
            <w:r w:rsidR="00D73FE0">
              <w:rPr>
                <w:rFonts w:cstheme="minorHAnsi"/>
                <w:lang w:val="es-ES"/>
              </w:rPr>
              <w:t>.</w:t>
            </w:r>
          </w:p>
        </w:tc>
      </w:tr>
      <w:tr w:rsidR="00690BCC" w:rsidRPr="00E1388F" w14:paraId="5F8C7A8E" w14:textId="77777777" w:rsidTr="00B46D76">
        <w:trPr>
          <w:trHeight w:val="360"/>
          <w:tblCellSpacing w:w="20" w:type="dxa"/>
        </w:trPr>
        <w:tc>
          <w:tcPr>
            <w:tcW w:w="10520" w:type="dxa"/>
            <w:gridSpan w:val="5"/>
            <w:shd w:val="clear" w:color="auto" w:fill="D9D9D9" w:themeFill="background1" w:themeFillShade="D9"/>
            <w:noWrap/>
            <w:hideMark/>
          </w:tcPr>
          <w:p w14:paraId="276B6EF5" w14:textId="2B36EEB6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Instrumentos de Recolección de Información:</w:t>
            </w:r>
          </w:p>
        </w:tc>
      </w:tr>
      <w:tr w:rsidR="00EC63B6" w:rsidRPr="00E1388F" w14:paraId="22C88E52" w14:textId="77777777" w:rsidTr="00B46D76">
        <w:trPr>
          <w:trHeight w:val="390"/>
          <w:tblCellSpacing w:w="20" w:type="dxa"/>
        </w:trPr>
        <w:tc>
          <w:tcPr>
            <w:tcW w:w="2699" w:type="dxa"/>
            <w:shd w:val="clear" w:color="000000" w:fill="FFFFFF"/>
            <w:noWrap/>
            <w:hideMark/>
          </w:tcPr>
          <w:p w14:paraId="2B46735A" w14:textId="32AAFDA9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Cuestionarios:</w:t>
            </w:r>
            <w:r w:rsidR="00B961EC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000000" w:fill="FFFFFF"/>
            <w:noWrap/>
            <w:hideMark/>
          </w:tcPr>
          <w:p w14:paraId="48C40E66" w14:textId="75708013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Entrevistas:</w:t>
            </w:r>
            <w:r w:rsidR="00014BEC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</w:tc>
        <w:tc>
          <w:tcPr>
            <w:tcW w:w="2386" w:type="dxa"/>
            <w:shd w:val="clear" w:color="000000" w:fill="FFFFFF"/>
            <w:noWrap/>
            <w:hideMark/>
          </w:tcPr>
          <w:p w14:paraId="24693C91" w14:textId="3D040271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Formatos:</w:t>
            </w:r>
            <w:r w:rsidR="00F1688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544072">
              <w:rPr>
                <w:rFonts w:eastAsia="Times New Roman"/>
                <w:b/>
                <w:color w:val="000000"/>
                <w:lang w:eastAsia="es-MX"/>
              </w:rPr>
              <w:t>X</w:t>
            </w:r>
          </w:p>
        </w:tc>
        <w:tc>
          <w:tcPr>
            <w:tcW w:w="2777" w:type="dxa"/>
            <w:shd w:val="clear" w:color="000000" w:fill="FFFFFF"/>
            <w:noWrap/>
            <w:hideMark/>
          </w:tcPr>
          <w:p w14:paraId="6359BFF9" w14:textId="77777777" w:rsidR="00544072" w:rsidRDefault="00E1388F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Especifique:</w:t>
            </w:r>
          </w:p>
          <w:p w14:paraId="74455486" w14:textId="56E9D33D" w:rsidR="00E1388F" w:rsidRPr="00544072" w:rsidRDefault="00544072" w:rsidP="0063439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>
              <w:rPr>
                <w:rFonts w:eastAsia="Times New Roman"/>
                <w:bCs/>
                <w:color w:val="000000"/>
                <w:lang w:eastAsia="es-MX"/>
              </w:rPr>
              <w:t>Esquema de la Evaluación Especifica de Desempeño</w:t>
            </w:r>
          </w:p>
        </w:tc>
      </w:tr>
      <w:tr w:rsidR="00690BCC" w:rsidRPr="00E1388F" w14:paraId="7C0EDD79" w14:textId="77777777" w:rsidTr="00B46D76">
        <w:trPr>
          <w:trHeight w:val="216"/>
          <w:tblCellSpacing w:w="20" w:type="dxa"/>
        </w:trPr>
        <w:tc>
          <w:tcPr>
            <w:tcW w:w="10520" w:type="dxa"/>
            <w:gridSpan w:val="5"/>
            <w:shd w:val="clear" w:color="000000" w:fill="FFFFFF"/>
            <w:noWrap/>
            <w:hideMark/>
          </w:tcPr>
          <w:p w14:paraId="587D73BD" w14:textId="77777777" w:rsidR="00014BEC" w:rsidRDefault="00E1388F" w:rsidP="00953E0A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Descripción de las Técnicas y Modelos Utilizados:</w:t>
            </w:r>
            <w:r w:rsidR="00332B81" w:rsidRPr="00BA4A59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461BE6">
              <w:rPr>
                <w:rFonts w:eastAsia="Times New Roman"/>
                <w:bCs/>
                <w:color w:val="000000"/>
                <w:lang w:eastAsia="es-MX"/>
              </w:rPr>
              <w:t xml:space="preserve">En cuanto al proceso operativo de la evaluación, seguido por los responsables de la evaluación, este contempló </w:t>
            </w:r>
            <w:r w:rsidR="00953E0A">
              <w:rPr>
                <w:rFonts w:eastAsia="Times New Roman"/>
                <w:bCs/>
                <w:color w:val="000000"/>
                <w:lang w:eastAsia="es-MX"/>
              </w:rPr>
              <w:t>dos fases, mismas que se describen de forma resumida en el siguiente listado:</w:t>
            </w:r>
          </w:p>
          <w:p w14:paraId="623C0813" w14:textId="77777777" w:rsidR="00953E0A" w:rsidRDefault="00953E0A" w:rsidP="00094E6F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ind w:left="502" w:hanging="284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 xml:space="preserve">Recolección de información: </w:t>
            </w:r>
            <w:r>
              <w:rPr>
                <w:rFonts w:eastAsia="Times New Roman"/>
                <w:bCs/>
                <w:color w:val="000000"/>
                <w:lang w:eastAsia="es-MX"/>
              </w:rPr>
              <w:t xml:space="preserve">fase que consideró los procesos inherentes a recabar la información pertinente y necesaria para el análisis sistemático realizado en apego a los </w:t>
            </w:r>
            <w:proofErr w:type="spellStart"/>
            <w:r>
              <w:rPr>
                <w:rFonts w:eastAsia="Times New Roman"/>
                <w:bCs/>
                <w:color w:val="000000"/>
                <w:lang w:eastAsia="es-MX"/>
              </w:rPr>
              <w:t>TdR</w:t>
            </w:r>
            <w:proofErr w:type="spellEnd"/>
            <w:r>
              <w:rPr>
                <w:rFonts w:eastAsia="Times New Roman"/>
                <w:bCs/>
                <w:color w:val="000000"/>
                <w:lang w:eastAsia="es-MX"/>
              </w:rPr>
              <w:t xml:space="preserve"> aplicados.</w:t>
            </w:r>
          </w:p>
          <w:p w14:paraId="03089A2A" w14:textId="10506D4C" w:rsidR="00953E0A" w:rsidRPr="00953E0A" w:rsidRDefault="00953E0A" w:rsidP="00094E6F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ind w:left="502" w:hanging="284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Análisis de Gabinete:</w:t>
            </w:r>
            <w:r>
              <w:rPr>
                <w:rFonts w:eastAsia="Times New Roman"/>
                <w:bCs/>
                <w:color w:val="000000"/>
                <w:lang w:eastAsia="es-MX"/>
              </w:rPr>
              <w:t xml:space="preserve"> fase que contempló todos los procesos y procedimientos de análisis minucioso, así como la conformación de los documentos </w:t>
            </w:r>
            <w:r w:rsidR="00094E6F">
              <w:rPr>
                <w:rFonts w:eastAsia="Times New Roman"/>
                <w:bCs/>
                <w:color w:val="000000"/>
                <w:lang w:eastAsia="es-MX"/>
              </w:rPr>
              <w:t>bases para la obtención de resultados y hallazgos de la evaluación.</w:t>
            </w:r>
          </w:p>
        </w:tc>
      </w:tr>
    </w:tbl>
    <w:p w14:paraId="68CC97C1" w14:textId="116083D8" w:rsidR="0000755B" w:rsidRDefault="0000755B"/>
    <w:p w14:paraId="5A3DAE60" w14:textId="09792C84" w:rsidR="00F76077" w:rsidRDefault="00F76077"/>
    <w:p w14:paraId="08AD67EC" w14:textId="77777777" w:rsidR="00DD03C5" w:rsidRDefault="00DD03C5"/>
    <w:tbl>
      <w:tblPr>
        <w:tblW w:w="10554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4"/>
      </w:tblGrid>
      <w:tr w:rsidR="00690BCC" w:rsidRPr="00BA4A59" w14:paraId="58DE2596" w14:textId="77777777" w:rsidTr="0000755B">
        <w:trPr>
          <w:trHeight w:val="300"/>
          <w:tblCellSpacing w:w="20" w:type="dxa"/>
        </w:trPr>
        <w:tc>
          <w:tcPr>
            <w:tcW w:w="10474" w:type="dxa"/>
            <w:shd w:val="clear" w:color="000000" w:fill="8B1D31"/>
            <w:noWrap/>
            <w:vAlign w:val="center"/>
            <w:hideMark/>
          </w:tcPr>
          <w:p w14:paraId="61536F35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2. Principales Hallazgos de la Evaluación</w:t>
            </w:r>
          </w:p>
        </w:tc>
      </w:tr>
      <w:tr w:rsidR="00690BCC" w:rsidRPr="00094E6F" w14:paraId="519DE658" w14:textId="77777777" w:rsidTr="0000755B">
        <w:trPr>
          <w:trHeight w:val="465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17DB42C9" w14:textId="20E530D9" w:rsidR="00F46C22" w:rsidRPr="00094E6F" w:rsidRDefault="00E1388F" w:rsidP="00E56DC2">
            <w:pPr>
              <w:spacing w:after="0" w:line="240" w:lineRule="auto"/>
              <w:jc w:val="both"/>
              <w:rPr>
                <w:rFonts w:cstheme="minorHAnsi"/>
                <w:b/>
                <w:lang w:val="es-ES"/>
              </w:rPr>
            </w:pPr>
            <w:r w:rsidRPr="00F76077">
              <w:rPr>
                <w:rFonts w:cstheme="minorHAnsi"/>
                <w:b/>
                <w:lang w:val="es-ES"/>
              </w:rPr>
              <w:t>2.1 Describir</w:t>
            </w:r>
            <w:r w:rsidR="00690BCC" w:rsidRPr="00F76077">
              <w:rPr>
                <w:rFonts w:cstheme="minorHAnsi"/>
                <w:b/>
                <w:lang w:val="es-ES"/>
              </w:rPr>
              <w:t xml:space="preserve"> los Hallazgos más Relevantes d</w:t>
            </w:r>
            <w:r w:rsidRPr="00F76077">
              <w:rPr>
                <w:rFonts w:cstheme="minorHAnsi"/>
                <w:b/>
                <w:lang w:val="es-ES"/>
              </w:rPr>
              <w:t>e</w:t>
            </w:r>
            <w:r w:rsidR="00690BCC" w:rsidRPr="00F76077">
              <w:rPr>
                <w:rFonts w:cstheme="minorHAnsi"/>
                <w:b/>
                <w:lang w:val="es-ES"/>
              </w:rPr>
              <w:t xml:space="preserve"> </w:t>
            </w:r>
            <w:r w:rsidRPr="00F76077">
              <w:rPr>
                <w:rFonts w:cstheme="minorHAnsi"/>
                <w:b/>
                <w:lang w:val="es-ES"/>
              </w:rPr>
              <w:t>la Evaluación:</w:t>
            </w:r>
            <w:r w:rsidR="00BF25EA" w:rsidRPr="00F76077">
              <w:rPr>
                <w:rFonts w:cstheme="minorHAnsi"/>
                <w:b/>
                <w:lang w:val="es-ES"/>
              </w:rPr>
              <w:t xml:space="preserve"> </w:t>
            </w:r>
            <w:r w:rsidR="00F76077" w:rsidRPr="00F76077">
              <w:rPr>
                <w:rFonts w:cstheme="minorHAnsi"/>
                <w:lang w:val="es-ES"/>
              </w:rPr>
              <w:t xml:space="preserve">En cuanto a Sinaloa existe un registro del </w:t>
            </w:r>
            <w:r w:rsidR="00F76077" w:rsidRPr="00E56DC2">
              <w:rPr>
                <w:rFonts w:cstheme="minorHAnsi"/>
                <w:b/>
                <w:bCs/>
                <w:color w:val="00B050"/>
                <w:lang w:val="es-ES"/>
              </w:rPr>
              <w:t>3.</w:t>
            </w:r>
            <w:r w:rsidR="00E56DC2" w:rsidRPr="00E56DC2">
              <w:rPr>
                <w:rFonts w:cstheme="minorHAnsi"/>
                <w:b/>
                <w:bCs/>
                <w:color w:val="00B050"/>
                <w:lang w:val="es-ES"/>
              </w:rPr>
              <w:t>5</w:t>
            </w:r>
            <w:r w:rsidR="00F76077" w:rsidRPr="00094E6F">
              <w:rPr>
                <w:rFonts w:cstheme="minorHAnsi"/>
                <w:b/>
                <w:bCs/>
                <w:lang w:val="es-ES"/>
              </w:rPr>
              <w:t>%</w:t>
            </w:r>
            <w:r w:rsidR="00F76077" w:rsidRPr="00F76077">
              <w:rPr>
                <w:rFonts w:cstheme="minorHAnsi"/>
                <w:lang w:val="es-ES"/>
              </w:rPr>
              <w:t xml:space="preserve"> de población de 15 años o más que no saben leer o escribir, por lo que se emplearon acciones para declarar al </w:t>
            </w:r>
            <w:r w:rsidR="00094E6F">
              <w:rPr>
                <w:rFonts w:cstheme="minorHAnsi"/>
                <w:lang w:val="es-ES"/>
              </w:rPr>
              <w:t>e</w:t>
            </w:r>
            <w:r w:rsidR="00F76077" w:rsidRPr="00F76077">
              <w:rPr>
                <w:rFonts w:cstheme="minorHAnsi"/>
                <w:lang w:val="es-ES"/>
              </w:rPr>
              <w:t xml:space="preserve">stado de Sinaloa con bandea blanca, esto logrando mantener por debajo del </w:t>
            </w:r>
            <w:r w:rsidR="00F76077" w:rsidRPr="00F76077">
              <w:rPr>
                <w:rFonts w:cstheme="minorHAnsi"/>
                <w:b/>
                <w:lang w:val="es-ES"/>
              </w:rPr>
              <w:t>4%</w:t>
            </w:r>
            <w:r w:rsidR="00F76077" w:rsidRPr="00F76077">
              <w:rPr>
                <w:rFonts w:cstheme="minorHAnsi"/>
                <w:lang w:val="es-ES"/>
              </w:rPr>
              <w:t xml:space="preserve"> en el nivel de Analfabetismo de la población, gracias al correcto manejo de las plazas comunitarias que son atendidas por el ISEA y así lograr un avance en la disminución del Rezago Educativo teniendo un registro del </w:t>
            </w:r>
            <w:r w:rsidR="00F76077" w:rsidRPr="00E56DC2">
              <w:rPr>
                <w:rFonts w:cstheme="minorHAnsi"/>
                <w:b/>
                <w:color w:val="00B050"/>
                <w:lang w:val="es-ES"/>
              </w:rPr>
              <w:t>2</w:t>
            </w:r>
            <w:r w:rsidR="00D60DB2" w:rsidRPr="00E56DC2">
              <w:rPr>
                <w:rFonts w:cstheme="minorHAnsi"/>
                <w:b/>
                <w:color w:val="00B050"/>
                <w:lang w:val="es-ES"/>
              </w:rPr>
              <w:t>8</w:t>
            </w:r>
            <w:r w:rsidR="00F76077" w:rsidRPr="00E56DC2">
              <w:rPr>
                <w:rFonts w:cstheme="minorHAnsi"/>
                <w:b/>
                <w:color w:val="00B050"/>
                <w:lang w:val="es-ES"/>
              </w:rPr>
              <w:t>.</w:t>
            </w:r>
            <w:r w:rsidR="00D60DB2" w:rsidRPr="00E56DC2">
              <w:rPr>
                <w:rFonts w:cstheme="minorHAnsi"/>
                <w:b/>
                <w:color w:val="00B050"/>
                <w:lang w:val="es-ES"/>
              </w:rPr>
              <w:t>8</w:t>
            </w:r>
            <w:r w:rsidR="00F76077" w:rsidRPr="00E56DC2">
              <w:rPr>
                <w:rFonts w:cstheme="minorHAnsi"/>
                <w:b/>
                <w:color w:val="00B050"/>
                <w:lang w:val="es-ES"/>
              </w:rPr>
              <w:t>%</w:t>
            </w:r>
            <w:r w:rsidR="00F76077" w:rsidRPr="00E56DC2">
              <w:rPr>
                <w:rFonts w:cstheme="minorHAnsi"/>
                <w:color w:val="00B050"/>
                <w:lang w:val="es-ES"/>
              </w:rPr>
              <w:t xml:space="preserve"> </w:t>
            </w:r>
            <w:r w:rsidR="00F76077" w:rsidRPr="00F76077">
              <w:rPr>
                <w:rFonts w:cstheme="minorHAnsi"/>
                <w:lang w:val="es-ES"/>
              </w:rPr>
              <w:t>de la población de 15 años o más en esta situación.</w:t>
            </w:r>
          </w:p>
        </w:tc>
      </w:tr>
      <w:tr w:rsidR="00690BCC" w:rsidRPr="00E1388F" w14:paraId="155993DF" w14:textId="77777777" w:rsidTr="0000755B">
        <w:trPr>
          <w:trHeight w:val="379"/>
          <w:tblCellSpacing w:w="20" w:type="dxa"/>
        </w:trPr>
        <w:tc>
          <w:tcPr>
            <w:tcW w:w="10474" w:type="dxa"/>
            <w:shd w:val="clear" w:color="auto" w:fill="D9D9D9" w:themeFill="background1" w:themeFillShade="D9"/>
            <w:hideMark/>
          </w:tcPr>
          <w:p w14:paraId="319AA931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 Señalar </w:t>
            </w:r>
            <w:r w:rsidR="000A0543" w:rsidRPr="00BA4A59">
              <w:rPr>
                <w:rFonts w:eastAsia="Times New Roman"/>
                <w:b/>
                <w:color w:val="000000"/>
                <w:lang w:eastAsia="es-MX"/>
              </w:rPr>
              <w:t>cu</w:t>
            </w:r>
            <w:r w:rsidR="00690BCC" w:rsidRPr="00BA4A59">
              <w:rPr>
                <w:rFonts w:eastAsia="Times New Roman"/>
                <w:b/>
                <w:color w:val="000000"/>
                <w:lang w:eastAsia="es-MX"/>
              </w:rPr>
              <w:t>áles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 son las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rincipales Fortalezas, Oportunidades, Debilidades y Amenazas (FODA), de Acuerdo con los temas del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rograma,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e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strategia o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i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>nstituciones.</w:t>
            </w:r>
          </w:p>
        </w:tc>
      </w:tr>
      <w:tr w:rsidR="000A0543" w:rsidRPr="00E1388F" w14:paraId="352C388C" w14:textId="77777777" w:rsidTr="0000755B">
        <w:trPr>
          <w:trHeight w:val="507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288A8809" w14:textId="77777777" w:rsidR="00F46C22" w:rsidRDefault="000A0543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2.2.1 Fortalezas: </w:t>
            </w:r>
          </w:p>
          <w:p w14:paraId="5C65B2A9" w14:textId="6B991EB9" w:rsidR="00F76077" w:rsidRPr="00F76077" w:rsidRDefault="00F76077" w:rsidP="00094E6F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F76077">
              <w:rPr>
                <w:rFonts w:eastAsia="Times New Roman"/>
                <w:color w:val="000000"/>
                <w:lang w:eastAsia="es-MX"/>
              </w:rPr>
              <w:t>El fondo dispone de una estructura de coordinación claramente definida y consistente.</w:t>
            </w:r>
          </w:p>
          <w:p w14:paraId="1115C846" w14:textId="60BE5004" w:rsidR="00F76077" w:rsidRPr="00F76077" w:rsidRDefault="00F76077" w:rsidP="00094E6F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F76077">
              <w:rPr>
                <w:rFonts w:eastAsia="Times New Roman"/>
                <w:color w:val="000000"/>
                <w:lang w:eastAsia="es-MX"/>
              </w:rPr>
              <w:t>Adecuada articulación de las acciones entre los diferentes actores, se ubicó a nivel general la consolidación y coordinación, siendo adecuada a nivel general para las acciones de operación del programa.</w:t>
            </w:r>
          </w:p>
          <w:p w14:paraId="1B6CA339" w14:textId="17189911" w:rsidR="00F76077" w:rsidRPr="00F76077" w:rsidRDefault="00F76077" w:rsidP="00094E6F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F76077">
              <w:rPr>
                <w:rFonts w:eastAsia="Times New Roman"/>
                <w:color w:val="000000"/>
                <w:lang w:eastAsia="es-MX"/>
              </w:rPr>
              <w:t>Los datos relativos a los indicadores estratégicos y de gestión del programa, durante los cuatro trimestres del año, se registraron en tiempo y forma.</w:t>
            </w:r>
          </w:p>
          <w:p w14:paraId="7C9D2F4B" w14:textId="31BE77F5" w:rsidR="000A0543" w:rsidRPr="00544072" w:rsidRDefault="00F76077" w:rsidP="00094E6F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F76077">
              <w:rPr>
                <w:rFonts w:eastAsia="Times New Roman"/>
                <w:color w:val="000000"/>
                <w:lang w:eastAsia="es-MX"/>
              </w:rPr>
              <w:t>El fondo y el programa presupuestario refleja que se considera la esencia del federalismo hacendario y sus componentes se ajustan a los criterios, situación que facilita la medición de su desempeño.</w:t>
            </w:r>
          </w:p>
        </w:tc>
      </w:tr>
      <w:tr w:rsidR="000A0543" w:rsidRPr="00E1388F" w14:paraId="1595B551" w14:textId="77777777" w:rsidTr="0000755B">
        <w:trPr>
          <w:trHeight w:val="555"/>
          <w:tblCellSpacing w:w="20" w:type="dxa"/>
        </w:trPr>
        <w:tc>
          <w:tcPr>
            <w:tcW w:w="10474" w:type="dxa"/>
            <w:shd w:val="clear" w:color="000000" w:fill="FFFFFF"/>
            <w:noWrap/>
          </w:tcPr>
          <w:p w14:paraId="7C8226B3" w14:textId="77777777" w:rsidR="000A0543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2.2.2 Oportunidades: </w:t>
            </w:r>
          </w:p>
          <w:p w14:paraId="4BE57059" w14:textId="77777777" w:rsidR="00BC7E93" w:rsidRPr="00BC7E93" w:rsidRDefault="00BC7E93" w:rsidP="00F47413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C7E93">
              <w:rPr>
                <w:rFonts w:eastAsia="Times New Roman"/>
                <w:color w:val="000000"/>
                <w:lang w:eastAsia="es-MX"/>
              </w:rPr>
              <w:t>Mantener el reforzamiento y creación de plazas comunitarias mediante el desarrollo de actividades para la promoción y difusión de los servicios educativos.</w:t>
            </w:r>
          </w:p>
          <w:p w14:paraId="2813AB0C" w14:textId="7E1DA3BF" w:rsidR="00F46C22" w:rsidRPr="00E1388F" w:rsidRDefault="00890A56" w:rsidP="00E56DC2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75808">
              <w:rPr>
                <w:rFonts w:eastAsia="Times New Roman"/>
                <w:lang w:eastAsia="es-MX"/>
              </w:rPr>
              <w:t>Mantener y ampliar la capacitación a las figuras solidarias para continuar brindando un servicio educativo de calidad a los educandos, así como reforzar las asesorías en los módulos con mayor índice de reprobación, que permita incrementar la aprobación de los educandos.</w:t>
            </w:r>
          </w:p>
        </w:tc>
      </w:tr>
      <w:tr w:rsidR="000A0543" w:rsidRPr="00E1388F" w14:paraId="7600829B" w14:textId="77777777" w:rsidTr="0000755B">
        <w:trPr>
          <w:trHeight w:val="555"/>
          <w:tblCellSpacing w:w="20" w:type="dxa"/>
        </w:trPr>
        <w:tc>
          <w:tcPr>
            <w:tcW w:w="10474" w:type="dxa"/>
            <w:shd w:val="clear" w:color="000000" w:fill="FFFFFF"/>
            <w:noWrap/>
          </w:tcPr>
          <w:p w14:paraId="2B59A29E" w14:textId="77777777" w:rsidR="000A0543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2.2.3 Debilidades:</w:t>
            </w:r>
            <w:r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  <w:p w14:paraId="774EE51E" w14:textId="69ABF187" w:rsidR="00EB04D1" w:rsidRDefault="00EB04D1" w:rsidP="00F47413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El programa no cuenta con una Evaluación de Impacto.</w:t>
            </w:r>
          </w:p>
          <w:p w14:paraId="1A3A4779" w14:textId="5A4AE50C" w:rsidR="00BC7E93" w:rsidRPr="00BC7E93" w:rsidRDefault="00BC7E93" w:rsidP="00F47413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C7E93">
              <w:rPr>
                <w:rFonts w:eastAsia="Times New Roman"/>
                <w:color w:val="000000"/>
                <w:lang w:eastAsia="es-MX"/>
              </w:rPr>
              <w:t xml:space="preserve">Se registró la necesidad de recursos humanos, materiales y financieros en </w:t>
            </w:r>
            <w:r w:rsidR="00F47413">
              <w:rPr>
                <w:rFonts w:eastAsia="Times New Roman"/>
                <w:color w:val="000000"/>
                <w:lang w:eastAsia="es-MX"/>
              </w:rPr>
              <w:t xml:space="preserve">el </w:t>
            </w:r>
            <w:r w:rsidRPr="00BC7E93">
              <w:rPr>
                <w:rFonts w:eastAsia="Times New Roman"/>
                <w:color w:val="000000"/>
                <w:lang w:eastAsia="es-MX"/>
              </w:rPr>
              <w:t>ISEA para cumplir con las atribuciones en la prestación de los servicios de educación para adultos.</w:t>
            </w:r>
          </w:p>
          <w:p w14:paraId="28C05819" w14:textId="48D4B39D" w:rsidR="00F46C22" w:rsidRPr="00E1388F" w:rsidRDefault="00BC7E93" w:rsidP="00F47413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C7E93">
              <w:rPr>
                <w:rFonts w:eastAsia="Times New Roman"/>
                <w:color w:val="000000"/>
                <w:lang w:eastAsia="es-MX"/>
              </w:rPr>
              <w:t>Resultados de los indicadores de desempeño del programa, registraron resultados variables en los niveles programados, de manera baja y alta.</w:t>
            </w:r>
          </w:p>
        </w:tc>
      </w:tr>
      <w:tr w:rsidR="000A0543" w:rsidRPr="00E1388F" w14:paraId="60DF4DC8" w14:textId="77777777" w:rsidTr="0000755B">
        <w:trPr>
          <w:trHeight w:val="660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0C9F781C" w14:textId="77777777" w:rsidR="00F46C22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2.2.4 Amenazas:</w:t>
            </w:r>
            <w:r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  <w:p w14:paraId="48A2105D" w14:textId="5A73091B" w:rsidR="00BC7E93" w:rsidRPr="00BC7E93" w:rsidRDefault="00BC7E93" w:rsidP="00F47413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C7E93">
              <w:rPr>
                <w:rFonts w:eastAsia="Times New Roman"/>
                <w:color w:val="000000"/>
                <w:lang w:eastAsia="es-MX"/>
              </w:rPr>
              <w:t xml:space="preserve">Metas elevadas para abatir el rezago educativo en la entidad, debido a que las establece la autoridad educativa federal. </w:t>
            </w:r>
          </w:p>
          <w:p w14:paraId="09405242" w14:textId="1E9E7FCB" w:rsidR="00BC7E93" w:rsidRPr="00BC7E93" w:rsidRDefault="00BC7E93" w:rsidP="00F47413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C7E93">
              <w:rPr>
                <w:rFonts w:eastAsia="Times New Roman"/>
                <w:color w:val="000000"/>
                <w:lang w:eastAsia="es-MX"/>
              </w:rPr>
              <w:t>Retraso en el avance de atención a educandos por suspensión temporal de labores debido a la contingencia sanitaria.</w:t>
            </w:r>
          </w:p>
          <w:p w14:paraId="21FF795B" w14:textId="03A07443" w:rsidR="000A0543" w:rsidRPr="00E1388F" w:rsidRDefault="00BC7E93" w:rsidP="00F47413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60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C7E93">
              <w:rPr>
                <w:rFonts w:eastAsia="Times New Roman"/>
                <w:color w:val="000000"/>
                <w:lang w:eastAsia="es-MX"/>
              </w:rPr>
              <w:t>Falta de evaluación del desempeño externa por restricciones presupuestarias.</w:t>
            </w:r>
          </w:p>
        </w:tc>
      </w:tr>
    </w:tbl>
    <w:p w14:paraId="71B7D48F" w14:textId="4199637D" w:rsidR="00EC63B6" w:rsidRDefault="00EC63B6" w:rsidP="002272AA">
      <w:pPr>
        <w:spacing w:after="0"/>
      </w:pPr>
    </w:p>
    <w:p w14:paraId="348A9CF6" w14:textId="77777777" w:rsidR="00BC7E93" w:rsidRDefault="00BC7E93" w:rsidP="002272AA">
      <w:pPr>
        <w:spacing w:after="0"/>
      </w:pPr>
    </w:p>
    <w:tbl>
      <w:tblPr>
        <w:tblW w:w="10615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5"/>
      </w:tblGrid>
      <w:tr w:rsidR="00690BCC" w:rsidRPr="00E1388F" w14:paraId="3E69236F" w14:textId="77777777" w:rsidTr="00694C41">
        <w:trPr>
          <w:trHeight w:val="300"/>
          <w:tblCellSpacing w:w="20" w:type="dxa"/>
        </w:trPr>
        <w:tc>
          <w:tcPr>
            <w:tcW w:w="10535" w:type="dxa"/>
            <w:shd w:val="clear" w:color="000000" w:fill="8B1D31"/>
            <w:noWrap/>
            <w:vAlign w:val="center"/>
            <w:hideMark/>
          </w:tcPr>
          <w:p w14:paraId="34626929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3. Conclusiones y Recomendaciones de la Evaluación</w:t>
            </w:r>
          </w:p>
        </w:tc>
      </w:tr>
      <w:tr w:rsidR="00690BCC" w:rsidRPr="00E1388F" w14:paraId="3F1F0E6D" w14:textId="77777777" w:rsidTr="00694C41">
        <w:trPr>
          <w:trHeight w:val="405"/>
          <w:tblCellSpacing w:w="20" w:type="dxa"/>
        </w:trPr>
        <w:tc>
          <w:tcPr>
            <w:tcW w:w="10535" w:type="dxa"/>
            <w:shd w:val="clear" w:color="000000" w:fill="FFFFFF"/>
            <w:noWrap/>
            <w:hideMark/>
          </w:tcPr>
          <w:p w14:paraId="6281357C" w14:textId="74B27902" w:rsidR="00FB2BF7" w:rsidRPr="00B61F75" w:rsidRDefault="00E1388F" w:rsidP="00B61F75">
            <w:pPr>
              <w:pStyle w:val="Prrafodelista"/>
              <w:numPr>
                <w:ilvl w:val="1"/>
                <w:numId w:val="41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61F75">
              <w:rPr>
                <w:rFonts w:eastAsia="Times New Roman"/>
                <w:b/>
                <w:color w:val="000000"/>
                <w:lang w:eastAsia="es-MX"/>
              </w:rPr>
              <w:t xml:space="preserve">Describir </w:t>
            </w:r>
            <w:r w:rsidR="00BA4A59" w:rsidRPr="00B61F75">
              <w:rPr>
                <w:rFonts w:eastAsia="Times New Roman"/>
                <w:b/>
                <w:color w:val="000000"/>
                <w:lang w:eastAsia="es-MX"/>
              </w:rPr>
              <w:t>b</w:t>
            </w:r>
            <w:r w:rsidRPr="00B61F75">
              <w:rPr>
                <w:rFonts w:eastAsia="Times New Roman"/>
                <w:b/>
                <w:color w:val="000000"/>
                <w:lang w:eastAsia="es-MX"/>
              </w:rPr>
              <w:t xml:space="preserve">revemente las </w:t>
            </w:r>
            <w:r w:rsidR="00BA4A59" w:rsidRPr="00B61F75">
              <w:rPr>
                <w:rFonts w:eastAsia="Times New Roman"/>
                <w:b/>
                <w:color w:val="000000"/>
                <w:lang w:eastAsia="es-MX"/>
              </w:rPr>
              <w:t>c</w:t>
            </w:r>
            <w:r w:rsidRPr="00B61F75">
              <w:rPr>
                <w:rFonts w:eastAsia="Times New Roman"/>
                <w:b/>
                <w:color w:val="000000"/>
                <w:lang w:eastAsia="es-MX"/>
              </w:rPr>
              <w:t xml:space="preserve">onclusiones de la </w:t>
            </w:r>
            <w:r w:rsidR="00BA4A59" w:rsidRPr="00B61F75">
              <w:rPr>
                <w:rFonts w:eastAsia="Times New Roman"/>
                <w:b/>
                <w:color w:val="000000"/>
                <w:lang w:eastAsia="es-MX"/>
              </w:rPr>
              <w:t>e</w:t>
            </w:r>
            <w:r w:rsidRPr="00B61F75">
              <w:rPr>
                <w:rFonts w:eastAsia="Times New Roman"/>
                <w:b/>
                <w:color w:val="000000"/>
                <w:lang w:eastAsia="es-MX"/>
              </w:rPr>
              <w:t>valuación:</w:t>
            </w:r>
            <w:r w:rsidR="00BF25EA" w:rsidRPr="00B61F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  <w:p w14:paraId="3C87C1B5" w14:textId="34367B60" w:rsidR="00FB2BF7" w:rsidRPr="00B61F75" w:rsidRDefault="00B61F75" w:rsidP="00890A56">
            <w:pPr>
              <w:spacing w:before="80"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75808">
              <w:rPr>
                <w:rFonts w:eastAsia="Times New Roman"/>
                <w:lang w:eastAsia="es-MX"/>
              </w:rPr>
              <w:t>En Sinaloa existe un registro del 3.</w:t>
            </w:r>
            <w:r w:rsidR="00890A56" w:rsidRPr="00E75808">
              <w:rPr>
                <w:rFonts w:eastAsia="Times New Roman"/>
                <w:lang w:eastAsia="es-MX"/>
              </w:rPr>
              <w:t>5</w:t>
            </w:r>
            <w:r w:rsidRPr="00E75808">
              <w:rPr>
                <w:rFonts w:eastAsia="Times New Roman"/>
                <w:lang w:eastAsia="es-MX"/>
              </w:rPr>
              <w:t xml:space="preserve">% de población de 15 años o más que no saben leer o escribir, por lo que se emplearon acciones para declarar al </w:t>
            </w:r>
            <w:r w:rsidR="004A418D" w:rsidRPr="00E75808">
              <w:rPr>
                <w:rFonts w:eastAsia="Times New Roman"/>
                <w:lang w:eastAsia="es-MX"/>
              </w:rPr>
              <w:t>e</w:t>
            </w:r>
            <w:r w:rsidRPr="00E75808">
              <w:rPr>
                <w:rFonts w:eastAsia="Times New Roman"/>
                <w:lang w:eastAsia="es-MX"/>
              </w:rPr>
              <w:t>stado de Sinaloa con bande</w:t>
            </w:r>
            <w:r w:rsidR="004A418D" w:rsidRPr="00E75808">
              <w:rPr>
                <w:rFonts w:eastAsia="Times New Roman"/>
                <w:lang w:eastAsia="es-MX"/>
              </w:rPr>
              <w:t>r</w:t>
            </w:r>
            <w:r w:rsidRPr="00E75808">
              <w:rPr>
                <w:rFonts w:eastAsia="Times New Roman"/>
                <w:lang w:eastAsia="es-MX"/>
              </w:rPr>
              <w:t>a blanca, esto logrando mantener por debajo del 4% el nivel de Analfabetismo de la población, gracias al correcto manejo de las plazas comunitarias que son atendidas por el ISEA y así lograr un avance en la disminución del Rezago Educativo teniendo un registro del 2</w:t>
            </w:r>
            <w:r w:rsidR="00890A56" w:rsidRPr="00E75808">
              <w:rPr>
                <w:rFonts w:eastAsia="Times New Roman"/>
                <w:lang w:eastAsia="es-MX"/>
              </w:rPr>
              <w:t>8.8</w:t>
            </w:r>
            <w:r w:rsidRPr="00E75808">
              <w:rPr>
                <w:rFonts w:eastAsia="Times New Roman"/>
                <w:lang w:eastAsia="es-MX"/>
              </w:rPr>
              <w:t>% de la población de 15 años o más en esta situación.</w:t>
            </w:r>
          </w:p>
        </w:tc>
      </w:tr>
      <w:tr w:rsidR="00690BCC" w:rsidRPr="00E1388F" w14:paraId="38586C23" w14:textId="77777777" w:rsidTr="00694C41">
        <w:trPr>
          <w:trHeight w:val="69"/>
          <w:tblCellSpacing w:w="20" w:type="dxa"/>
        </w:trPr>
        <w:tc>
          <w:tcPr>
            <w:tcW w:w="10535" w:type="dxa"/>
            <w:shd w:val="clear" w:color="auto" w:fill="D9D9D9" w:themeFill="background1" w:themeFillShade="D9"/>
            <w:noWrap/>
            <w:hideMark/>
          </w:tcPr>
          <w:p w14:paraId="257944FD" w14:textId="5EE34E34" w:rsidR="00E1388F" w:rsidRPr="002272AA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2272AA">
              <w:rPr>
                <w:rFonts w:eastAsia="Times New Roman"/>
                <w:b/>
                <w:color w:val="000000"/>
                <w:lang w:eastAsia="es-MX"/>
              </w:rPr>
              <w:t>3.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2 Describir las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r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ecomendaciones de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a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cuerdo a su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r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elevancia:</w:t>
            </w:r>
          </w:p>
        </w:tc>
      </w:tr>
      <w:tr w:rsidR="00690BCC" w:rsidRPr="00E1388F" w14:paraId="37513592" w14:textId="77777777" w:rsidTr="00694C41">
        <w:trPr>
          <w:trHeight w:val="465"/>
          <w:tblCellSpacing w:w="20" w:type="dxa"/>
        </w:trPr>
        <w:tc>
          <w:tcPr>
            <w:tcW w:w="10535" w:type="dxa"/>
            <w:shd w:val="clear" w:color="000000" w:fill="FFFFFF"/>
            <w:noWrap/>
            <w:hideMark/>
          </w:tcPr>
          <w:p w14:paraId="33394678" w14:textId="1E375548" w:rsidR="00E1388F" w:rsidRPr="00E1388F" w:rsidRDefault="00E1388F" w:rsidP="00D166D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1:</w:t>
            </w:r>
            <w:r w:rsidR="00F46C22" w:rsidRPr="00F46C2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694C41" w:rsidRPr="00694C41">
              <w:rPr>
                <w:rFonts w:asciiTheme="minorHAnsi" w:eastAsiaTheme="minorHAnsi" w:hAnsiTheme="minorHAnsi" w:cstheme="minorHAnsi"/>
                <w:sz w:val="24"/>
                <w:szCs w:val="24"/>
              </w:rPr>
              <w:t>Identificar las necesidades de recursos humanos, materiales y financieros del ISEA, para fortalecer su operación institucional en el cumplimiento de las atribuciones.</w:t>
            </w:r>
          </w:p>
        </w:tc>
      </w:tr>
      <w:tr w:rsidR="00690BCC" w:rsidRPr="00E1388F" w14:paraId="0D59EC42" w14:textId="77777777" w:rsidTr="00694C41">
        <w:trPr>
          <w:trHeight w:val="465"/>
          <w:tblCellSpacing w:w="20" w:type="dxa"/>
        </w:trPr>
        <w:tc>
          <w:tcPr>
            <w:tcW w:w="10535" w:type="dxa"/>
            <w:shd w:val="clear" w:color="000000" w:fill="FFFFFF"/>
            <w:noWrap/>
            <w:hideMark/>
          </w:tcPr>
          <w:p w14:paraId="418102EC" w14:textId="67718AD2" w:rsidR="00E1388F" w:rsidRPr="00E1388F" w:rsidRDefault="00E1388F" w:rsidP="00D166D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2:</w:t>
            </w:r>
            <w:r w:rsidR="00F46C22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694C41" w:rsidRPr="00694C41">
              <w:rPr>
                <w:rFonts w:eastAsia="Times New Roman"/>
                <w:color w:val="000000"/>
                <w:lang w:eastAsia="es-MX"/>
              </w:rPr>
              <w:t>Gestionar con la autoridad educativa federal, las metas de educación para los adultos, de manera que puedan ser logradas en el ejercicio fiscal.</w:t>
            </w:r>
          </w:p>
        </w:tc>
      </w:tr>
      <w:tr w:rsidR="00FB2BF7" w:rsidRPr="00E1388F" w14:paraId="51E88126" w14:textId="77777777" w:rsidTr="00694C41">
        <w:trPr>
          <w:trHeight w:val="45"/>
          <w:tblCellSpacing w:w="20" w:type="dxa"/>
        </w:trPr>
        <w:tc>
          <w:tcPr>
            <w:tcW w:w="10535" w:type="dxa"/>
            <w:shd w:val="clear" w:color="000000" w:fill="FFFFFF"/>
            <w:noWrap/>
          </w:tcPr>
          <w:p w14:paraId="61F011D2" w14:textId="56D05334" w:rsidR="00FB2BF7" w:rsidRPr="00E1388F" w:rsidRDefault="00FB2BF7" w:rsidP="00D166D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3: </w:t>
            </w:r>
            <w:r w:rsidR="00694C41" w:rsidRPr="00694C41">
              <w:rPr>
                <w:rFonts w:eastAsia="Times New Roman"/>
                <w:color w:val="000000"/>
                <w:lang w:eastAsia="es-MX"/>
              </w:rPr>
              <w:t>Implementar mecanismos que contribuyan a la reducción del analfabetismo en el estado.</w:t>
            </w:r>
          </w:p>
        </w:tc>
      </w:tr>
    </w:tbl>
    <w:p w14:paraId="4DC94F41" w14:textId="372511A4" w:rsidR="000A0543" w:rsidRDefault="000A0543">
      <w:pPr>
        <w:spacing w:after="0" w:line="240" w:lineRule="auto"/>
      </w:pPr>
    </w:p>
    <w:tbl>
      <w:tblPr>
        <w:tblW w:w="10554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4"/>
      </w:tblGrid>
      <w:tr w:rsidR="00690BCC" w:rsidRPr="00E1388F" w14:paraId="73A88D12" w14:textId="77777777" w:rsidTr="00C22D74">
        <w:trPr>
          <w:trHeight w:val="300"/>
          <w:tblCellSpacing w:w="20" w:type="dxa"/>
        </w:trPr>
        <w:tc>
          <w:tcPr>
            <w:tcW w:w="10474" w:type="dxa"/>
            <w:shd w:val="clear" w:color="000000" w:fill="8B1D31"/>
            <w:noWrap/>
            <w:vAlign w:val="center"/>
            <w:hideMark/>
          </w:tcPr>
          <w:p w14:paraId="3EF2620E" w14:textId="77777777" w:rsidR="00E1388F" w:rsidRPr="00E1388F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E1388F">
              <w:rPr>
                <w:rFonts w:eastAsia="Times New Roman"/>
                <w:b/>
                <w:color w:val="FFFFFF"/>
                <w:lang w:eastAsia="es-MX"/>
              </w:rPr>
              <w:t>4. Datos de la Instancia Evaluadora</w:t>
            </w:r>
          </w:p>
        </w:tc>
      </w:tr>
      <w:tr w:rsidR="00BA4A59" w:rsidRPr="00E1388F" w14:paraId="3795FFBD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2438F183" w14:textId="1A2764A4" w:rsidR="00BA4A59" w:rsidRPr="00421357" w:rsidRDefault="00BA4A59" w:rsidP="00694C4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4.1 Nombre del Coordinador de la Evaluación: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421357">
              <w:rPr>
                <w:rFonts w:eastAsia="Times New Roman"/>
                <w:bCs/>
                <w:color w:val="000000"/>
                <w:lang w:eastAsia="es-MX"/>
              </w:rPr>
              <w:t>José Luis Alvarado Medrano.</w:t>
            </w:r>
          </w:p>
        </w:tc>
      </w:tr>
      <w:tr w:rsidR="00BA4A59" w:rsidRPr="00E1388F" w14:paraId="370465ED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1080C4A3" w14:textId="1A08407F" w:rsidR="00BA4A59" w:rsidRPr="00421357" w:rsidRDefault="00BA4A59" w:rsidP="00694C4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4.2 Cargo: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421357">
              <w:rPr>
                <w:rFonts w:eastAsia="Times New Roman"/>
                <w:bCs/>
                <w:color w:val="000000"/>
                <w:lang w:eastAsia="es-MX"/>
              </w:rPr>
              <w:t>Jefe de Departamento de Planeación y Seguimiento Operativo.</w:t>
            </w:r>
          </w:p>
        </w:tc>
      </w:tr>
      <w:tr w:rsidR="00BA4A59" w:rsidRPr="00E1388F" w14:paraId="7313DBB2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3EC6FE3A" w14:textId="1D51FE7B" w:rsidR="00BA4A59" w:rsidRPr="00421357" w:rsidRDefault="00BA4A59" w:rsidP="00694C4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4.3 Institución a la que Pertenece: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421357">
              <w:rPr>
                <w:rFonts w:eastAsia="Times New Roman"/>
                <w:bCs/>
                <w:color w:val="000000"/>
                <w:lang w:eastAsia="es-MX"/>
              </w:rPr>
              <w:t>Instituto Sinaloense para la Educación de los Adultos (ISEA).</w:t>
            </w:r>
          </w:p>
        </w:tc>
      </w:tr>
      <w:tr w:rsidR="00BA4A59" w:rsidRPr="00E1388F" w14:paraId="44122938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auto" w:fill="auto"/>
            <w:noWrap/>
            <w:vAlign w:val="center"/>
            <w:hideMark/>
          </w:tcPr>
          <w:p w14:paraId="5BE039B1" w14:textId="60A0EC70" w:rsidR="00BE5D01" w:rsidRPr="00214221" w:rsidRDefault="00BA4A59" w:rsidP="0021422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 w:rsidRPr="0000755B">
              <w:rPr>
                <w:rFonts w:eastAsia="Times New Roman"/>
                <w:b/>
                <w:color w:val="000000"/>
                <w:lang w:eastAsia="es-MX"/>
              </w:rPr>
              <w:t xml:space="preserve">4.4 Principales Colaboradores: </w:t>
            </w:r>
            <w:r w:rsidR="00214221">
              <w:rPr>
                <w:rFonts w:eastAsia="Times New Roman"/>
                <w:bCs/>
                <w:color w:val="000000"/>
                <w:lang w:eastAsia="es-MX"/>
              </w:rPr>
              <w:t>Depto. de Acreditación, Depto. de Servicios Educativos, Coordinación Regional y Unidad de la Calidad.</w:t>
            </w:r>
          </w:p>
        </w:tc>
      </w:tr>
      <w:tr w:rsidR="00BA4A59" w:rsidRPr="00E1388F" w14:paraId="0D3594D7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07C43518" w14:textId="493C5087" w:rsidR="00BA4A59" w:rsidRPr="00214221" w:rsidRDefault="00BA4A59" w:rsidP="00694C41">
            <w:pPr>
              <w:spacing w:after="0" w:line="240" w:lineRule="auto"/>
              <w:ind w:right="-212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4.5 Correo Electrónico del Coordinador de la Evaluación: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hyperlink r:id="rId8" w:history="1">
              <w:r w:rsidR="00214221" w:rsidRPr="00E90561">
                <w:rPr>
                  <w:rStyle w:val="Hipervnculo"/>
                  <w:rFonts w:eastAsia="Times New Roman"/>
                  <w:bCs/>
                  <w:lang w:eastAsia="es-MX"/>
                </w:rPr>
                <w:t>sin_plan@inea.gob.mx</w:t>
              </w:r>
            </w:hyperlink>
          </w:p>
        </w:tc>
      </w:tr>
      <w:tr w:rsidR="00BA4A59" w:rsidRPr="00E1388F" w14:paraId="007A83FC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5B9BBBA5" w14:textId="764BC4DE" w:rsidR="00EE3EE9" w:rsidRPr="00E1388F" w:rsidRDefault="00BA4A59" w:rsidP="0021422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4.6 Teléfono (</w:t>
            </w:r>
            <w:r w:rsidR="00D71101">
              <w:rPr>
                <w:rFonts w:eastAsia="Times New Roman"/>
                <w:b/>
                <w:color w:val="000000"/>
                <w:lang w:eastAsia="es-MX"/>
              </w:rPr>
              <w:t>667)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214221">
              <w:rPr>
                <w:rFonts w:eastAsia="Times New Roman"/>
                <w:bCs/>
                <w:color w:val="000000"/>
                <w:lang w:eastAsia="es-MX"/>
              </w:rPr>
              <w:t>715-03-32 ext. 510</w:t>
            </w:r>
          </w:p>
        </w:tc>
      </w:tr>
    </w:tbl>
    <w:p w14:paraId="77260241" w14:textId="77777777" w:rsidR="00EC63B6" w:rsidRDefault="00EC63B6" w:rsidP="002272AA">
      <w:pPr>
        <w:spacing w:after="0"/>
      </w:pPr>
    </w:p>
    <w:tbl>
      <w:tblPr>
        <w:tblW w:w="10571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7"/>
        <w:gridCol w:w="2991"/>
        <w:gridCol w:w="2478"/>
        <w:gridCol w:w="1775"/>
      </w:tblGrid>
      <w:tr w:rsidR="00690BCC" w:rsidRPr="00BA4A59" w14:paraId="6E5B185D" w14:textId="77777777" w:rsidTr="00214221">
        <w:trPr>
          <w:trHeight w:val="312"/>
          <w:tblCellSpacing w:w="20" w:type="dxa"/>
        </w:trPr>
        <w:tc>
          <w:tcPr>
            <w:tcW w:w="10491" w:type="dxa"/>
            <w:gridSpan w:val="4"/>
            <w:shd w:val="clear" w:color="000000" w:fill="8B1D31"/>
            <w:noWrap/>
            <w:vAlign w:val="center"/>
            <w:hideMark/>
          </w:tcPr>
          <w:p w14:paraId="08318229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5. Identificación del (os) Programa(S)</w:t>
            </w:r>
          </w:p>
        </w:tc>
      </w:tr>
      <w:tr w:rsidR="0091170D" w:rsidRPr="00E1388F" w14:paraId="3DC833DE" w14:textId="77777777" w:rsidTr="00214221">
        <w:trPr>
          <w:trHeight w:val="406"/>
          <w:tblCellSpacing w:w="20" w:type="dxa"/>
        </w:trPr>
        <w:tc>
          <w:tcPr>
            <w:tcW w:w="10491" w:type="dxa"/>
            <w:gridSpan w:val="4"/>
            <w:shd w:val="clear" w:color="000000" w:fill="FFFFFF"/>
            <w:noWrap/>
            <w:vAlign w:val="center"/>
            <w:hideMark/>
          </w:tcPr>
          <w:p w14:paraId="37C28DD7" w14:textId="0B497E08" w:rsidR="0091170D" w:rsidRPr="00E1388F" w:rsidRDefault="0091170D" w:rsidP="00694C4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5.1 Nombre del (os) Programa(s) Evaluado(s):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694C41">
              <w:rPr>
                <w:rFonts w:eastAsia="Times New Roman"/>
                <w:color w:val="000000"/>
                <w:lang w:eastAsia="es-MX"/>
              </w:rPr>
              <w:t>Servicios Descentralizados para la Educación de los Adultos</w:t>
            </w:r>
          </w:p>
        </w:tc>
      </w:tr>
      <w:tr w:rsidR="0091170D" w:rsidRPr="00E1388F" w14:paraId="2F42A88F" w14:textId="77777777" w:rsidTr="00214221">
        <w:trPr>
          <w:trHeight w:val="406"/>
          <w:tblCellSpacing w:w="20" w:type="dxa"/>
        </w:trPr>
        <w:tc>
          <w:tcPr>
            <w:tcW w:w="10491" w:type="dxa"/>
            <w:gridSpan w:val="4"/>
            <w:shd w:val="clear" w:color="000000" w:fill="FFFFFF"/>
            <w:noWrap/>
            <w:vAlign w:val="center"/>
            <w:hideMark/>
          </w:tcPr>
          <w:p w14:paraId="447A9F6B" w14:textId="34AE0914" w:rsidR="0091170D" w:rsidRPr="003E6E57" w:rsidRDefault="0091170D" w:rsidP="00D71101">
            <w:pPr>
              <w:spacing w:after="0" w:line="240" w:lineRule="auto"/>
              <w:rPr>
                <w:rFonts w:cstheme="minorHAnsi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5.2 Siglas: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694C41">
              <w:rPr>
                <w:rFonts w:eastAsia="Times New Roman"/>
                <w:color w:val="000000"/>
                <w:lang w:eastAsia="es-MX"/>
              </w:rPr>
              <w:t>SD</w:t>
            </w:r>
            <w:r w:rsidR="00694C41">
              <w:rPr>
                <w:rFonts w:eastAsia="Times New Roman"/>
                <w:bCs/>
                <w:color w:val="000000"/>
                <w:lang w:eastAsia="es-MX"/>
              </w:rPr>
              <w:t>EA</w:t>
            </w:r>
            <w:r w:rsidR="00082BC3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91170D" w:rsidRPr="00E1388F" w14:paraId="34BDBE9E" w14:textId="77777777" w:rsidTr="00214221">
        <w:trPr>
          <w:trHeight w:val="406"/>
          <w:tblCellSpacing w:w="20" w:type="dxa"/>
        </w:trPr>
        <w:tc>
          <w:tcPr>
            <w:tcW w:w="10491" w:type="dxa"/>
            <w:gridSpan w:val="4"/>
            <w:shd w:val="clear" w:color="000000" w:fill="FFFFFF"/>
            <w:noWrap/>
            <w:vAlign w:val="center"/>
            <w:hideMark/>
          </w:tcPr>
          <w:p w14:paraId="2B4943E0" w14:textId="2BAD0858" w:rsidR="0091170D" w:rsidRPr="00E1388F" w:rsidRDefault="0091170D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5.3 Ente Público Coordinador del (os) Programa(s):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694C41">
              <w:rPr>
                <w:rFonts w:eastAsia="Times New Roman"/>
                <w:color w:val="000000"/>
                <w:lang w:eastAsia="es-MX"/>
              </w:rPr>
              <w:t>Instituto Sinaloense para la Educación de los Adultos</w:t>
            </w:r>
            <w:r w:rsidR="00694C41">
              <w:rPr>
                <w:rFonts w:eastAsia="Times New Roman"/>
                <w:bCs/>
                <w:color w:val="000000"/>
                <w:lang w:eastAsia="es-MX"/>
              </w:rPr>
              <w:t xml:space="preserve"> (ISEA)</w:t>
            </w:r>
          </w:p>
        </w:tc>
      </w:tr>
      <w:tr w:rsidR="00690BCC" w:rsidRPr="00E1388F" w14:paraId="2409CA4F" w14:textId="77777777" w:rsidTr="00214221">
        <w:trPr>
          <w:trHeight w:val="406"/>
          <w:tblCellSpacing w:w="20" w:type="dxa"/>
        </w:trPr>
        <w:tc>
          <w:tcPr>
            <w:tcW w:w="10491" w:type="dxa"/>
            <w:gridSpan w:val="4"/>
            <w:shd w:val="clear" w:color="000000" w:fill="FFFFFF"/>
            <w:noWrap/>
            <w:vAlign w:val="center"/>
            <w:hideMark/>
          </w:tcPr>
          <w:p w14:paraId="6E468FDC" w14:textId="112568DD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5.4 Poder Público al que Pertenece(n) el(los) Programa(s):</w:t>
            </w:r>
            <w:r w:rsidR="003E6E57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</w:tc>
      </w:tr>
      <w:tr w:rsidR="00E42310" w:rsidRPr="00E1388F" w14:paraId="1AA07FFB" w14:textId="77777777" w:rsidTr="00214221">
        <w:trPr>
          <w:trHeight w:val="406"/>
          <w:tblCellSpacing w:w="20" w:type="dxa"/>
        </w:trPr>
        <w:tc>
          <w:tcPr>
            <w:tcW w:w="3357" w:type="dxa"/>
            <w:shd w:val="clear" w:color="000000" w:fill="FFFFFF"/>
            <w:noWrap/>
            <w:vAlign w:val="center"/>
            <w:hideMark/>
          </w:tcPr>
          <w:p w14:paraId="26A2F505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Ejecutivo: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 X</w:t>
            </w:r>
          </w:p>
        </w:tc>
        <w:tc>
          <w:tcPr>
            <w:tcW w:w="2921" w:type="dxa"/>
            <w:shd w:val="clear" w:color="000000" w:fill="FFFFFF"/>
            <w:noWrap/>
            <w:vAlign w:val="center"/>
            <w:hideMark/>
          </w:tcPr>
          <w:p w14:paraId="549E7CC2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Legislativo:</w:t>
            </w:r>
          </w:p>
        </w:tc>
        <w:tc>
          <w:tcPr>
            <w:tcW w:w="2408" w:type="dxa"/>
            <w:shd w:val="clear" w:color="000000" w:fill="FFFFFF"/>
            <w:noWrap/>
            <w:vAlign w:val="center"/>
            <w:hideMark/>
          </w:tcPr>
          <w:p w14:paraId="5F25044D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Judicial:</w:t>
            </w:r>
          </w:p>
        </w:tc>
        <w:tc>
          <w:tcPr>
            <w:tcW w:w="1685" w:type="dxa"/>
            <w:shd w:val="clear" w:color="000000" w:fill="FFFFFF"/>
            <w:noWrap/>
            <w:vAlign w:val="center"/>
            <w:hideMark/>
          </w:tcPr>
          <w:p w14:paraId="2A22F868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Ente Autónomo:</w:t>
            </w:r>
          </w:p>
        </w:tc>
      </w:tr>
    </w:tbl>
    <w:p w14:paraId="53CC7374" w14:textId="65761E40" w:rsidR="00214221" w:rsidRDefault="00214221"/>
    <w:p w14:paraId="7F7379C7" w14:textId="77777777" w:rsidR="00214221" w:rsidRDefault="00214221"/>
    <w:tbl>
      <w:tblPr>
        <w:tblW w:w="10571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841"/>
        <w:gridCol w:w="1202"/>
        <w:gridCol w:w="611"/>
        <w:gridCol w:w="1183"/>
        <w:gridCol w:w="1336"/>
        <w:gridCol w:w="1142"/>
        <w:gridCol w:w="523"/>
        <w:gridCol w:w="1257"/>
      </w:tblGrid>
      <w:tr w:rsidR="00E42310" w:rsidRPr="00C30C58" w14:paraId="56950F2C" w14:textId="77777777" w:rsidTr="00214221">
        <w:trPr>
          <w:trHeight w:val="406"/>
          <w:tblCellSpacing w:w="20" w:type="dxa"/>
        </w:trPr>
        <w:tc>
          <w:tcPr>
            <w:tcW w:w="10491" w:type="dxa"/>
            <w:gridSpan w:val="9"/>
            <w:shd w:val="clear" w:color="auto" w:fill="F2F2F2" w:themeFill="background1" w:themeFillShade="F2"/>
            <w:noWrap/>
            <w:vAlign w:val="center"/>
          </w:tcPr>
          <w:p w14:paraId="5D490D6E" w14:textId="6334A932" w:rsidR="00C30C58" w:rsidRPr="00C30C58" w:rsidRDefault="00C30C58" w:rsidP="00C30C58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5.5 Ámbito Gubernamental al que Pertenece(n) el(los) Programas): </w:t>
            </w:r>
          </w:p>
        </w:tc>
      </w:tr>
      <w:tr w:rsidR="00E42310" w:rsidRPr="00E1388F" w14:paraId="522D10EC" w14:textId="77777777" w:rsidTr="00214221">
        <w:trPr>
          <w:trHeight w:val="406"/>
          <w:tblCellSpacing w:w="20" w:type="dxa"/>
        </w:trPr>
        <w:tc>
          <w:tcPr>
            <w:tcW w:w="4551" w:type="dxa"/>
            <w:gridSpan w:val="3"/>
            <w:shd w:val="clear" w:color="auto" w:fill="auto"/>
            <w:noWrap/>
            <w:vAlign w:val="center"/>
          </w:tcPr>
          <w:p w14:paraId="69A8C51C" w14:textId="52AC0484" w:rsidR="00C30C58" w:rsidRPr="00193A26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93A26">
              <w:rPr>
                <w:rFonts w:eastAsia="Times New Roman"/>
                <w:color w:val="000000"/>
                <w:lang w:eastAsia="es-MX"/>
              </w:rPr>
              <w:t>Federal:</w:t>
            </w:r>
            <w:r w:rsidR="00694C41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4693" w:type="dxa"/>
            <w:gridSpan w:val="5"/>
            <w:shd w:val="clear" w:color="auto" w:fill="auto"/>
            <w:noWrap/>
            <w:vAlign w:val="center"/>
          </w:tcPr>
          <w:p w14:paraId="0A9EC39A" w14:textId="34F41BA1" w:rsidR="00C30C58" w:rsidRPr="00193A26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93A26">
              <w:rPr>
                <w:rFonts w:eastAsia="Times New Roman"/>
                <w:color w:val="000000"/>
                <w:lang w:eastAsia="es-MX"/>
              </w:rPr>
              <w:t>Estatal:</w:t>
            </w:r>
            <w:r w:rsidR="00694C41">
              <w:rPr>
                <w:rFonts w:eastAsia="Times New Roman"/>
                <w:color w:val="000000"/>
                <w:lang w:eastAsia="es-MX"/>
              </w:rPr>
              <w:t xml:space="preserve"> X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07C2AB2A" w14:textId="7D9588F0" w:rsidR="00C30C58" w:rsidRPr="00193A26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93A26">
              <w:rPr>
                <w:rFonts w:eastAsia="Times New Roman"/>
                <w:color w:val="000000"/>
                <w:lang w:eastAsia="es-MX"/>
              </w:rPr>
              <w:t>Local:</w:t>
            </w:r>
          </w:p>
        </w:tc>
      </w:tr>
      <w:tr w:rsidR="00C30C58" w:rsidRPr="00E1388F" w14:paraId="140FE42E" w14:textId="77777777" w:rsidTr="00214221">
        <w:trPr>
          <w:trHeight w:val="406"/>
          <w:tblCellSpacing w:w="20" w:type="dxa"/>
        </w:trPr>
        <w:tc>
          <w:tcPr>
            <w:tcW w:w="10491" w:type="dxa"/>
            <w:gridSpan w:val="9"/>
            <w:shd w:val="clear" w:color="auto" w:fill="auto"/>
            <w:noWrap/>
            <w:vAlign w:val="center"/>
          </w:tcPr>
          <w:p w14:paraId="01CF983C" w14:textId="0C13C327" w:rsidR="00C30C58" w:rsidRPr="00E1388F" w:rsidRDefault="00C30C58" w:rsidP="0021422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5.6 Nombre de la(s) Unidad(es) Administrativa(s) y de (los) titular(es) a cargo del (los) Programa(s): </w:t>
            </w:r>
          </w:p>
        </w:tc>
      </w:tr>
      <w:tr w:rsidR="00C30C58" w:rsidRPr="00E1388F" w14:paraId="42B71DD4" w14:textId="77777777" w:rsidTr="00214221">
        <w:trPr>
          <w:trHeight w:val="406"/>
          <w:tblCellSpacing w:w="20" w:type="dxa"/>
        </w:trPr>
        <w:tc>
          <w:tcPr>
            <w:tcW w:w="10491" w:type="dxa"/>
            <w:gridSpan w:val="9"/>
            <w:shd w:val="clear" w:color="auto" w:fill="auto"/>
            <w:noWrap/>
            <w:vAlign w:val="center"/>
          </w:tcPr>
          <w:p w14:paraId="340BC5FC" w14:textId="4274D4CD" w:rsidR="00C30C58" w:rsidRPr="00E1388F" w:rsidRDefault="00C30C58" w:rsidP="0021422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5.6.1 Nombre(s) de la(s) Unidad(es) Administrativa(s) a cargo de (los) Programa(s):</w:t>
            </w:r>
            <w:r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694C41">
              <w:rPr>
                <w:rFonts w:eastAsia="Times New Roman"/>
                <w:color w:val="000000"/>
                <w:lang w:eastAsia="es-MX"/>
              </w:rPr>
              <w:t>Instituto Sinaloense para la Educación de los Adultos</w:t>
            </w:r>
            <w:r w:rsidR="00214221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C30C58" w:rsidRPr="00E1388F" w14:paraId="63DC3DF3" w14:textId="77777777" w:rsidTr="00214221">
        <w:trPr>
          <w:trHeight w:val="406"/>
          <w:tblCellSpacing w:w="20" w:type="dxa"/>
        </w:trPr>
        <w:tc>
          <w:tcPr>
            <w:tcW w:w="10491" w:type="dxa"/>
            <w:gridSpan w:val="9"/>
            <w:shd w:val="clear" w:color="auto" w:fill="auto"/>
            <w:noWrap/>
            <w:vAlign w:val="center"/>
          </w:tcPr>
          <w:p w14:paraId="079B175F" w14:textId="01E7B72A" w:rsidR="00C30C58" w:rsidRPr="00E1388F" w:rsidRDefault="00E42310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5.6.2 Nombre(s) de (los) Titular (es) de la(s) Unidad(es) Administrativa(s) a Cargo de (los) Programa(s) (nombre completo, correo electrónico y teléfono con clave lada):</w:t>
            </w:r>
          </w:p>
        </w:tc>
      </w:tr>
      <w:tr w:rsidR="00E42310" w:rsidRPr="00E1388F" w14:paraId="296F2F7E" w14:textId="77777777" w:rsidTr="00214221">
        <w:trPr>
          <w:trHeight w:val="406"/>
          <w:tblCellSpacing w:w="20" w:type="dxa"/>
        </w:trPr>
        <w:tc>
          <w:tcPr>
            <w:tcW w:w="1528" w:type="dxa"/>
            <w:shd w:val="clear" w:color="auto" w:fill="auto"/>
            <w:noWrap/>
            <w:vAlign w:val="center"/>
          </w:tcPr>
          <w:p w14:paraId="16D3B382" w14:textId="485DF098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Nombre:</w:t>
            </w:r>
          </w:p>
        </w:tc>
        <w:tc>
          <w:tcPr>
            <w:tcW w:w="3584" w:type="dxa"/>
            <w:gridSpan w:val="3"/>
            <w:shd w:val="clear" w:color="auto" w:fill="auto"/>
            <w:noWrap/>
            <w:vAlign w:val="center"/>
          </w:tcPr>
          <w:p w14:paraId="529A5014" w14:textId="4BA03EE9" w:rsidR="00E42310" w:rsidRPr="00E1388F" w:rsidRDefault="00214221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Lic. Mario Alfonso Valenzuela López</w:t>
            </w:r>
          </w:p>
        </w:tc>
        <w:tc>
          <w:tcPr>
            <w:tcW w:w="2441" w:type="dxa"/>
            <w:gridSpan w:val="2"/>
            <w:shd w:val="clear" w:color="auto" w:fill="auto"/>
            <w:noWrap/>
            <w:vAlign w:val="center"/>
          </w:tcPr>
          <w:p w14:paraId="04FEDE8B" w14:textId="7AD85523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Unidad Administrativa:</w:t>
            </w:r>
          </w:p>
        </w:tc>
        <w:tc>
          <w:tcPr>
            <w:tcW w:w="2818" w:type="dxa"/>
            <w:gridSpan w:val="3"/>
            <w:shd w:val="clear" w:color="auto" w:fill="auto"/>
            <w:noWrap/>
            <w:vAlign w:val="center"/>
          </w:tcPr>
          <w:p w14:paraId="40AC34B7" w14:textId="530F896E" w:rsidR="00E42310" w:rsidRPr="00E1388F" w:rsidRDefault="00214221" w:rsidP="00B54F8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Instituto Sinaloense para la Educación de los Adultos</w:t>
            </w:r>
          </w:p>
        </w:tc>
      </w:tr>
      <w:tr w:rsidR="00E42310" w:rsidRPr="00E1388F" w14:paraId="42579F4D" w14:textId="77777777" w:rsidTr="00214221">
        <w:trPr>
          <w:trHeight w:val="406"/>
          <w:tblCellSpacing w:w="20" w:type="dxa"/>
        </w:trPr>
        <w:tc>
          <w:tcPr>
            <w:tcW w:w="3357" w:type="dxa"/>
            <w:gridSpan w:val="2"/>
            <w:shd w:val="clear" w:color="auto" w:fill="auto"/>
            <w:noWrap/>
            <w:vAlign w:val="center"/>
          </w:tcPr>
          <w:p w14:paraId="75A66376" w14:textId="29D6AD85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Correo Electrónico:</w:t>
            </w:r>
          </w:p>
        </w:tc>
        <w:tc>
          <w:tcPr>
            <w:tcW w:w="2921" w:type="dxa"/>
            <w:gridSpan w:val="3"/>
            <w:shd w:val="clear" w:color="auto" w:fill="auto"/>
            <w:noWrap/>
            <w:vAlign w:val="center"/>
          </w:tcPr>
          <w:p w14:paraId="0B4294EA" w14:textId="77489126" w:rsidR="00E42310" w:rsidRPr="00E1388F" w:rsidRDefault="00214221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mavalenzuela@inea.gob.mx</w:t>
            </w:r>
          </w:p>
        </w:tc>
        <w:tc>
          <w:tcPr>
            <w:tcW w:w="2408" w:type="dxa"/>
            <w:gridSpan w:val="2"/>
            <w:shd w:val="clear" w:color="auto" w:fill="auto"/>
            <w:noWrap/>
            <w:vAlign w:val="center"/>
          </w:tcPr>
          <w:p w14:paraId="14578FFB" w14:textId="2BCB8E5A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Teléfono con lada</w:t>
            </w:r>
          </w:p>
        </w:tc>
        <w:tc>
          <w:tcPr>
            <w:tcW w:w="1685" w:type="dxa"/>
            <w:gridSpan w:val="2"/>
            <w:shd w:val="clear" w:color="000000" w:fill="FFFFFF"/>
            <w:noWrap/>
            <w:vAlign w:val="center"/>
          </w:tcPr>
          <w:p w14:paraId="7E3B41C8" w14:textId="01AC1FF7" w:rsidR="00214221" w:rsidRPr="00E1388F" w:rsidRDefault="00214221" w:rsidP="0021422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(667) 713-9368, 715-3755</w:t>
            </w:r>
          </w:p>
        </w:tc>
      </w:tr>
    </w:tbl>
    <w:p w14:paraId="258503CA" w14:textId="77777777" w:rsidR="00E42310" w:rsidRDefault="00E42310" w:rsidP="002272AA">
      <w:pPr>
        <w:spacing w:after="0"/>
      </w:pPr>
    </w:p>
    <w:tbl>
      <w:tblPr>
        <w:tblW w:w="10554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6129"/>
      </w:tblGrid>
      <w:tr w:rsidR="00690BCC" w:rsidRPr="0091170D" w14:paraId="5E5FA7A0" w14:textId="77777777" w:rsidTr="00C22D74">
        <w:trPr>
          <w:trHeight w:val="300"/>
          <w:tblCellSpacing w:w="20" w:type="dxa"/>
        </w:trPr>
        <w:tc>
          <w:tcPr>
            <w:tcW w:w="10474" w:type="dxa"/>
            <w:gridSpan w:val="2"/>
            <w:shd w:val="clear" w:color="000000" w:fill="8B1D31"/>
            <w:noWrap/>
            <w:vAlign w:val="center"/>
            <w:hideMark/>
          </w:tcPr>
          <w:p w14:paraId="035E93FB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91170D">
              <w:rPr>
                <w:rFonts w:eastAsia="Times New Roman"/>
                <w:b/>
                <w:color w:val="FFFFFF"/>
                <w:lang w:eastAsia="es-MX"/>
              </w:rPr>
              <w:t>6. Datos de Contratación de la Evaluación</w:t>
            </w:r>
          </w:p>
        </w:tc>
      </w:tr>
      <w:tr w:rsidR="00690BCC" w:rsidRPr="00E1388F" w14:paraId="3ECE00F7" w14:textId="77777777" w:rsidTr="00C22D74">
        <w:trPr>
          <w:trHeight w:val="375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16AE7BBF" w14:textId="4352E91F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6.1 Tipo de Contratación:</w:t>
            </w:r>
            <w:r w:rsidR="00601986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</w:tc>
      </w:tr>
      <w:tr w:rsidR="00690BCC" w:rsidRPr="00E1388F" w14:paraId="3F3B2A7C" w14:textId="77777777" w:rsidTr="00C22D74">
        <w:trPr>
          <w:trHeight w:val="345"/>
          <w:tblCellSpacing w:w="20" w:type="dxa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14:paraId="0007CE83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6.1.1 Adjudicación Directa:</w:t>
            </w:r>
          </w:p>
        </w:tc>
        <w:tc>
          <w:tcPr>
            <w:tcW w:w="6039" w:type="dxa"/>
            <w:shd w:val="clear" w:color="000000" w:fill="FFFFFF"/>
            <w:noWrap/>
            <w:vAlign w:val="center"/>
            <w:hideMark/>
          </w:tcPr>
          <w:p w14:paraId="468A35B5" w14:textId="52E3D318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6.1.2 Invitación a Tres:</w:t>
            </w:r>
            <w:r w:rsidR="005565AC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</w:tc>
      </w:tr>
      <w:tr w:rsidR="00690BCC" w:rsidRPr="00E1388F" w14:paraId="645C0D13" w14:textId="77777777" w:rsidTr="00C22D74">
        <w:trPr>
          <w:trHeight w:val="446"/>
          <w:tblCellSpacing w:w="20" w:type="dxa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14:paraId="5BD9B455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6.1.3 Licitación Pública Nacional:</w:t>
            </w:r>
          </w:p>
        </w:tc>
        <w:tc>
          <w:tcPr>
            <w:tcW w:w="6039" w:type="dxa"/>
            <w:shd w:val="clear" w:color="000000" w:fill="FFFFFF"/>
            <w:noWrap/>
            <w:vAlign w:val="center"/>
            <w:hideMark/>
          </w:tcPr>
          <w:p w14:paraId="49E80030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6.1.4 Licitación Pública Internacional:</w:t>
            </w:r>
          </w:p>
        </w:tc>
      </w:tr>
      <w:tr w:rsidR="0091170D" w:rsidRPr="00E1388F" w14:paraId="39FFBFFF" w14:textId="77777777" w:rsidTr="00C22D74">
        <w:trPr>
          <w:trHeight w:val="390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3A6E715D" w14:textId="79C698E0" w:rsidR="0091170D" w:rsidRPr="0091170D" w:rsidRDefault="0091170D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 xml:space="preserve">6.1.5 Otro: </w:t>
            </w:r>
            <w:r w:rsidR="00FB2BF7" w:rsidRPr="00FB2BF7">
              <w:rPr>
                <w:rFonts w:eastAsia="Times New Roman"/>
                <w:b/>
                <w:bCs/>
                <w:color w:val="000000"/>
                <w:lang w:eastAsia="es-MX"/>
              </w:rPr>
              <w:t>Evaluación Interna</w:t>
            </w:r>
          </w:p>
        </w:tc>
      </w:tr>
      <w:tr w:rsidR="00690BCC" w:rsidRPr="00E1388F" w14:paraId="59B2CF7D" w14:textId="77777777" w:rsidTr="00C22D74">
        <w:trPr>
          <w:trHeight w:val="390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6B774584" w14:textId="14E05DEF" w:rsidR="00E1388F" w:rsidRPr="00FB2BF7" w:rsidRDefault="00E1388F" w:rsidP="005565AC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6.2 Unidad Administrativa Responsable de Contratar la Evaluación:</w:t>
            </w:r>
            <w:r w:rsidR="00601986" w:rsidRPr="0091170D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</w:tc>
      </w:tr>
      <w:tr w:rsidR="00690BCC" w:rsidRPr="00E1388F" w14:paraId="08F5F921" w14:textId="77777777" w:rsidTr="00C22D74">
        <w:trPr>
          <w:trHeight w:val="390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3BCED609" w14:textId="1F49E4CC" w:rsidR="00E1388F" w:rsidRPr="00E1388F" w:rsidRDefault="00E1388F" w:rsidP="005565AC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6.3 C</w:t>
            </w:r>
            <w:r w:rsidR="00690BCC" w:rsidRPr="0091170D">
              <w:rPr>
                <w:rFonts w:eastAsia="Times New Roman"/>
                <w:b/>
                <w:color w:val="000000"/>
                <w:lang w:eastAsia="es-MX"/>
              </w:rPr>
              <w:t>osto Total de la Evaluación</w:t>
            </w:r>
            <w:r w:rsidR="00FB2BF7">
              <w:rPr>
                <w:rFonts w:eastAsia="Times New Roman"/>
                <w:b/>
                <w:color w:val="000000"/>
                <w:lang w:eastAsia="es-MX"/>
              </w:rPr>
              <w:t>:</w:t>
            </w:r>
          </w:p>
        </w:tc>
      </w:tr>
      <w:tr w:rsidR="00690BCC" w:rsidRPr="00E1388F" w14:paraId="7942CA28" w14:textId="77777777" w:rsidTr="00C22D74">
        <w:trPr>
          <w:trHeight w:val="390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5F632301" w14:textId="0AB4B1B3" w:rsidR="00E1388F" w:rsidRPr="00E1388F" w:rsidRDefault="00E1388F" w:rsidP="005565AC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6.4 Fuente de Financiamiento:</w:t>
            </w:r>
          </w:p>
        </w:tc>
      </w:tr>
    </w:tbl>
    <w:p w14:paraId="125256D9" w14:textId="77777777" w:rsidR="00EC63B6" w:rsidRDefault="00EC63B6" w:rsidP="002272AA">
      <w:pPr>
        <w:spacing w:after="0"/>
      </w:pPr>
    </w:p>
    <w:tbl>
      <w:tblPr>
        <w:tblW w:w="10554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4"/>
      </w:tblGrid>
      <w:tr w:rsidR="00690BCC" w:rsidRPr="0091170D" w14:paraId="05E592CA" w14:textId="77777777" w:rsidTr="00C22D74">
        <w:trPr>
          <w:trHeight w:val="300"/>
          <w:tblCellSpacing w:w="20" w:type="dxa"/>
        </w:trPr>
        <w:tc>
          <w:tcPr>
            <w:tcW w:w="10474" w:type="dxa"/>
            <w:shd w:val="clear" w:color="000000" w:fill="8B1D31"/>
            <w:noWrap/>
            <w:vAlign w:val="center"/>
            <w:hideMark/>
          </w:tcPr>
          <w:p w14:paraId="7BDA6F1D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91170D">
              <w:rPr>
                <w:rFonts w:eastAsia="Times New Roman"/>
                <w:b/>
                <w:color w:val="FFFFFF"/>
                <w:lang w:eastAsia="es-MX"/>
              </w:rPr>
              <w:t>7. Difusión de la Evaluación</w:t>
            </w:r>
          </w:p>
        </w:tc>
      </w:tr>
      <w:tr w:rsidR="00690BCC" w:rsidRPr="00E1388F" w14:paraId="6863EF6B" w14:textId="77777777" w:rsidTr="00C22D74">
        <w:trPr>
          <w:trHeight w:val="390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533D0E8C" w14:textId="24F400BF" w:rsidR="0089095B" w:rsidRPr="00E1388F" w:rsidRDefault="00E1388F" w:rsidP="0089095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7.1 Difusión en Internet de la Evaluación:</w:t>
            </w:r>
            <w:r w:rsidR="00601986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F82232" w:rsidRPr="00F82232">
              <w:rPr>
                <w:rStyle w:val="Hipervnculo"/>
                <w:rFonts w:eastAsia="Times New Roman"/>
                <w:lang w:eastAsia="es-MX"/>
              </w:rPr>
              <w:t>saf.transparenciasinaloa.gob.mx/sed/</w:t>
            </w:r>
            <w:r w:rsidR="00214221">
              <w:rPr>
                <w:rStyle w:val="Hipervnculo"/>
                <w:rFonts w:eastAsia="Times New Roman"/>
                <w:lang w:eastAsia="es-MX"/>
              </w:rPr>
              <w:t xml:space="preserve"> </w:t>
            </w:r>
            <w:r w:rsidR="00214221" w:rsidRPr="00214221">
              <w:rPr>
                <w:rStyle w:val="Hipervnculo"/>
                <w:color w:val="auto"/>
                <w:u w:val="none"/>
              </w:rPr>
              <w:t>y</w:t>
            </w:r>
            <w:r w:rsidR="00214221">
              <w:rPr>
                <w:rStyle w:val="Hipervnculo"/>
              </w:rPr>
              <w:t xml:space="preserve"> evalua.sinaloa.gob.mx/</w:t>
            </w:r>
          </w:p>
        </w:tc>
      </w:tr>
      <w:tr w:rsidR="00690BCC" w:rsidRPr="00E1388F" w14:paraId="4E6F0987" w14:textId="77777777" w:rsidTr="00C22D74">
        <w:trPr>
          <w:trHeight w:val="390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5CE4BE8D" w14:textId="258AB8FA" w:rsidR="00E1388F" w:rsidRPr="00E1388F" w:rsidRDefault="00E1388F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7.2 Difusión en Internet del Formato</w:t>
            </w:r>
            <w:r w:rsidR="00E474E8" w:rsidRPr="0091170D">
              <w:rPr>
                <w:rFonts w:eastAsia="Times New Roman"/>
                <w:b/>
                <w:color w:val="000000"/>
                <w:lang w:eastAsia="es-MX"/>
              </w:rPr>
              <w:t xml:space="preserve">: </w:t>
            </w:r>
            <w:r w:rsidR="00214221" w:rsidRPr="00F82232">
              <w:rPr>
                <w:rStyle w:val="Hipervnculo"/>
                <w:rFonts w:eastAsia="Times New Roman"/>
                <w:lang w:eastAsia="es-MX"/>
              </w:rPr>
              <w:t>saf.transparenciasinaloa.gob.mx/sed/</w:t>
            </w:r>
            <w:r w:rsidR="00214221">
              <w:rPr>
                <w:rStyle w:val="Hipervnculo"/>
                <w:rFonts w:eastAsia="Times New Roman"/>
                <w:lang w:eastAsia="es-MX"/>
              </w:rPr>
              <w:t xml:space="preserve"> </w:t>
            </w:r>
            <w:r w:rsidR="00214221" w:rsidRPr="00214221">
              <w:rPr>
                <w:rStyle w:val="Hipervnculo"/>
                <w:color w:val="auto"/>
                <w:u w:val="none"/>
              </w:rPr>
              <w:t>y</w:t>
            </w:r>
            <w:r w:rsidR="00214221">
              <w:rPr>
                <w:rStyle w:val="Hipervnculo"/>
              </w:rPr>
              <w:t xml:space="preserve"> evalua.sinaloa.gob.mx/</w:t>
            </w:r>
          </w:p>
        </w:tc>
      </w:tr>
    </w:tbl>
    <w:p w14:paraId="14CD65E0" w14:textId="77777777" w:rsidR="00E474E8" w:rsidRDefault="00E474E8"/>
    <w:sectPr w:rsidR="00E474E8" w:rsidSect="00E1388F">
      <w:headerReference w:type="default" r:id="rId9"/>
      <w:headerReference w:type="first" r:id="rId10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4AED" w14:textId="77777777" w:rsidR="00457FB7" w:rsidRDefault="00457FB7" w:rsidP="008E5209">
      <w:pPr>
        <w:spacing w:after="0" w:line="240" w:lineRule="auto"/>
      </w:pPr>
      <w:r>
        <w:separator/>
      </w:r>
    </w:p>
  </w:endnote>
  <w:endnote w:type="continuationSeparator" w:id="0">
    <w:p w14:paraId="521EB769" w14:textId="77777777" w:rsidR="00457FB7" w:rsidRDefault="00457FB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EE1A" w14:textId="77777777" w:rsidR="00457FB7" w:rsidRDefault="00457FB7" w:rsidP="008E5209">
      <w:pPr>
        <w:spacing w:after="0" w:line="240" w:lineRule="auto"/>
      </w:pPr>
      <w:r>
        <w:separator/>
      </w:r>
    </w:p>
  </w:footnote>
  <w:footnote w:type="continuationSeparator" w:id="0">
    <w:p w14:paraId="740C5C64" w14:textId="77777777" w:rsidR="00457FB7" w:rsidRDefault="00457FB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84A1" w14:textId="46BEDDC7" w:rsidR="00DF12BB" w:rsidRPr="00DD03C5" w:rsidRDefault="00DF12BB" w:rsidP="00DD03C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82DBB1C" wp14:editId="6D700965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77A2A" w14:textId="77777777" w:rsidR="00DF12BB" w:rsidRDefault="00DF12BB" w:rsidP="00DF12BB"/>
                        <w:p w14:paraId="6C766D5B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DBB1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33D77A2A" w14:textId="77777777" w:rsidR="00DF12BB" w:rsidRDefault="00DF12BB" w:rsidP="00DF12BB"/>
                  <w:p w14:paraId="6C766D5B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7E255AED" wp14:editId="7A1E4462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51F569" w14:textId="494E5EF8" w:rsidR="00544072" w:rsidRPr="00B46D76" w:rsidRDefault="00B46D76" w:rsidP="00DD03C5">
    <w:pPr>
      <w:ind w:left="2832"/>
      <w:jc w:val="right"/>
      <w:rPr>
        <w:rFonts w:ascii="Montserrat Light" w:hAnsi="Montserrat Light" w:cs="Arial"/>
        <w:b/>
        <w:color w:val="861D31"/>
        <w:sz w:val="25"/>
        <w:szCs w:val="25"/>
      </w:rPr>
    </w:pPr>
    <w:r w:rsidRPr="00B0773D">
      <w:rPr>
        <w:rFonts w:ascii="Montserrat Light" w:hAnsi="Montserrat Light" w:cs="Arial"/>
        <w:b/>
        <w:color w:val="861D31"/>
        <w:sz w:val="25"/>
        <w:szCs w:val="25"/>
      </w:rPr>
      <w:t>Formato para la D</w:t>
    </w:r>
    <w:r>
      <w:rPr>
        <w:rFonts w:ascii="Montserrat Light" w:hAnsi="Montserrat Light" w:cs="Arial"/>
        <w:b/>
        <w:color w:val="861D31"/>
        <w:sz w:val="25"/>
        <w:szCs w:val="25"/>
      </w:rPr>
      <w:t xml:space="preserve">ifusión de los Resultados de la </w:t>
    </w:r>
    <w:r w:rsidRPr="00B0773D">
      <w:rPr>
        <w:rFonts w:ascii="Montserrat Light" w:hAnsi="Montserrat Light" w:cs="Arial"/>
        <w:b/>
        <w:color w:val="861D31"/>
        <w:sz w:val="25"/>
        <w:szCs w:val="25"/>
      </w:rPr>
      <w:t xml:space="preserve">Evaluación del </w:t>
    </w:r>
    <w:r>
      <w:rPr>
        <w:rFonts w:ascii="Montserrat Light" w:hAnsi="Montserrat Light" w:cs="Arial"/>
        <w:b/>
        <w:color w:val="861D31"/>
        <w:sz w:val="25"/>
        <w:szCs w:val="25"/>
      </w:rPr>
      <w:t>programa Servicios Descentralizados para la Educación de los Adultos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47D7" w14:textId="60A22052" w:rsidR="0086126F" w:rsidRPr="00DD03C5" w:rsidRDefault="0086126F" w:rsidP="00DD03C5">
    <w:pPr>
      <w:pStyle w:val="Encabezado"/>
      <w:ind w:right="141"/>
      <w:jc w:val="center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326167" wp14:editId="05CFABBA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ABEB7" w14:textId="77777777" w:rsidR="0086126F" w:rsidRDefault="0086126F" w:rsidP="00C759BF"/>
                        <w:p w14:paraId="2A635CBB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261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DAABEB7" w14:textId="77777777" w:rsidR="0086126F" w:rsidRDefault="0086126F" w:rsidP="00C759BF"/>
                  <w:p w14:paraId="2A635CBB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0AFBA310" wp14:editId="72AB61E5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03C5">
      <w:rPr>
        <w:rFonts w:ascii="Montserrat Light" w:hAnsi="Montserrat Light" w:cs="Arial"/>
        <w:b/>
        <w:color w:val="861D31"/>
        <w:szCs w:val="20"/>
      </w:rPr>
      <w:tab/>
    </w:r>
  </w:p>
  <w:p w14:paraId="653B4E89" w14:textId="7BA0A25D" w:rsidR="00B46D76" w:rsidRPr="00B0773D" w:rsidRDefault="0086126F" w:rsidP="00B46D76">
    <w:pPr>
      <w:ind w:left="2832"/>
      <w:jc w:val="right"/>
      <w:rPr>
        <w:rFonts w:ascii="Montserrat Light" w:hAnsi="Montserrat Light" w:cs="Arial"/>
        <w:b/>
        <w:color w:val="861D31"/>
        <w:sz w:val="25"/>
        <w:szCs w:val="25"/>
      </w:rPr>
    </w:pPr>
    <w:r w:rsidRPr="00B0773D">
      <w:rPr>
        <w:rFonts w:ascii="Montserrat Light" w:hAnsi="Montserrat Light" w:cs="Arial"/>
        <w:b/>
        <w:color w:val="861D31"/>
        <w:sz w:val="25"/>
        <w:szCs w:val="25"/>
      </w:rPr>
      <w:t>Formato para la D</w:t>
    </w:r>
    <w:r w:rsidR="00B46D76">
      <w:rPr>
        <w:rFonts w:ascii="Montserrat Light" w:hAnsi="Montserrat Light" w:cs="Arial"/>
        <w:b/>
        <w:color w:val="861D31"/>
        <w:sz w:val="25"/>
        <w:szCs w:val="25"/>
      </w:rPr>
      <w:t xml:space="preserve">ifusión de los Resultados de la </w:t>
    </w:r>
    <w:r w:rsidRPr="00B0773D">
      <w:rPr>
        <w:rFonts w:ascii="Montserrat Light" w:hAnsi="Montserrat Light" w:cs="Arial"/>
        <w:b/>
        <w:color w:val="861D31"/>
        <w:sz w:val="25"/>
        <w:szCs w:val="25"/>
      </w:rPr>
      <w:t>Evaluaci</w:t>
    </w:r>
    <w:r w:rsidR="002272AA" w:rsidRPr="00B0773D">
      <w:rPr>
        <w:rFonts w:ascii="Montserrat Light" w:hAnsi="Montserrat Light" w:cs="Arial"/>
        <w:b/>
        <w:color w:val="861D31"/>
        <w:sz w:val="25"/>
        <w:szCs w:val="25"/>
      </w:rPr>
      <w:t xml:space="preserve">ón del </w:t>
    </w:r>
    <w:r w:rsidR="00B46D76">
      <w:rPr>
        <w:rFonts w:ascii="Montserrat Light" w:hAnsi="Montserrat Light" w:cs="Arial"/>
        <w:b/>
        <w:color w:val="861D31"/>
        <w:sz w:val="25"/>
        <w:szCs w:val="25"/>
      </w:rPr>
      <w:t>programa Servicios Descentralizados para la Educación de los Adultos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C4E"/>
    <w:multiLevelType w:val="hybridMultilevel"/>
    <w:tmpl w:val="0A5A6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13D"/>
    <w:multiLevelType w:val="hybridMultilevel"/>
    <w:tmpl w:val="6F08DE0C"/>
    <w:lvl w:ilvl="0" w:tplc="959607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55CD"/>
    <w:multiLevelType w:val="hybridMultilevel"/>
    <w:tmpl w:val="B0D20AEE"/>
    <w:lvl w:ilvl="0" w:tplc="49444308">
      <w:start w:val="7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4E9"/>
    <w:multiLevelType w:val="hybridMultilevel"/>
    <w:tmpl w:val="403816EA"/>
    <w:lvl w:ilvl="0" w:tplc="5AB0A7A0">
      <w:start w:val="2"/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F10E83"/>
    <w:multiLevelType w:val="hybridMultilevel"/>
    <w:tmpl w:val="7012CD5A"/>
    <w:lvl w:ilvl="0" w:tplc="4BBE3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76C16"/>
    <w:multiLevelType w:val="hybridMultilevel"/>
    <w:tmpl w:val="C8F633FC"/>
    <w:lvl w:ilvl="0" w:tplc="AA8C33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B6524C"/>
    <w:multiLevelType w:val="hybridMultilevel"/>
    <w:tmpl w:val="595E0158"/>
    <w:lvl w:ilvl="0" w:tplc="31947F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1F28D9"/>
    <w:multiLevelType w:val="hybridMultilevel"/>
    <w:tmpl w:val="8FF8A2E8"/>
    <w:lvl w:ilvl="0" w:tplc="84649956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00333"/>
    <w:multiLevelType w:val="multilevel"/>
    <w:tmpl w:val="2A068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D13E4A"/>
    <w:multiLevelType w:val="hybridMultilevel"/>
    <w:tmpl w:val="D856DCE6"/>
    <w:lvl w:ilvl="0" w:tplc="A3CA052E">
      <w:start w:val="3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D3D8B"/>
    <w:multiLevelType w:val="hybridMultilevel"/>
    <w:tmpl w:val="7D1E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715F1"/>
    <w:multiLevelType w:val="hybridMultilevel"/>
    <w:tmpl w:val="193C59BA"/>
    <w:lvl w:ilvl="0" w:tplc="2108BC4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79CA"/>
    <w:multiLevelType w:val="multilevel"/>
    <w:tmpl w:val="BC1A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3F0F9F"/>
    <w:multiLevelType w:val="hybridMultilevel"/>
    <w:tmpl w:val="E5BA9486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297BA0"/>
    <w:multiLevelType w:val="multilevel"/>
    <w:tmpl w:val="856C2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4F38E1"/>
    <w:multiLevelType w:val="hybridMultilevel"/>
    <w:tmpl w:val="4968A7C6"/>
    <w:lvl w:ilvl="0" w:tplc="14602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126B16"/>
    <w:multiLevelType w:val="hybridMultilevel"/>
    <w:tmpl w:val="457048BC"/>
    <w:lvl w:ilvl="0" w:tplc="6E9AA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C32B0"/>
    <w:multiLevelType w:val="hybridMultilevel"/>
    <w:tmpl w:val="85826234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5">
      <w:start w:val="1"/>
      <w:numFmt w:val="upp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29153BA"/>
    <w:multiLevelType w:val="hybridMultilevel"/>
    <w:tmpl w:val="9D041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91DE4"/>
    <w:multiLevelType w:val="hybridMultilevel"/>
    <w:tmpl w:val="F71483E0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E56919"/>
    <w:multiLevelType w:val="hybridMultilevel"/>
    <w:tmpl w:val="6ACED8B4"/>
    <w:lvl w:ilvl="0" w:tplc="4C70BF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65860"/>
    <w:multiLevelType w:val="hybridMultilevel"/>
    <w:tmpl w:val="083A0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C7CA7"/>
    <w:multiLevelType w:val="hybridMultilevel"/>
    <w:tmpl w:val="613A5D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C4E9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6798F"/>
    <w:multiLevelType w:val="multilevel"/>
    <w:tmpl w:val="952E9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6B33B3"/>
    <w:multiLevelType w:val="multilevel"/>
    <w:tmpl w:val="B18CF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7435BC"/>
    <w:multiLevelType w:val="hybridMultilevel"/>
    <w:tmpl w:val="E2D0C828"/>
    <w:lvl w:ilvl="0" w:tplc="035AFE3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8171D"/>
    <w:multiLevelType w:val="hybridMultilevel"/>
    <w:tmpl w:val="4DE26EE4"/>
    <w:lvl w:ilvl="0" w:tplc="ADA064A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B73403"/>
    <w:multiLevelType w:val="multilevel"/>
    <w:tmpl w:val="F72AA2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FC31A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AD3677"/>
    <w:multiLevelType w:val="hybridMultilevel"/>
    <w:tmpl w:val="05B65898"/>
    <w:lvl w:ilvl="0" w:tplc="461ADF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427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2B4325"/>
    <w:multiLevelType w:val="hybridMultilevel"/>
    <w:tmpl w:val="2A7A0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D57D1"/>
    <w:multiLevelType w:val="hybridMultilevel"/>
    <w:tmpl w:val="594063B8"/>
    <w:lvl w:ilvl="0" w:tplc="670EDCD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D292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3A4B3F"/>
    <w:multiLevelType w:val="hybridMultilevel"/>
    <w:tmpl w:val="062E60CE"/>
    <w:lvl w:ilvl="0" w:tplc="54408794">
      <w:start w:val="6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B4FC9"/>
    <w:multiLevelType w:val="hybridMultilevel"/>
    <w:tmpl w:val="3F0E6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162A2"/>
    <w:multiLevelType w:val="hybridMultilevel"/>
    <w:tmpl w:val="9BBE73A8"/>
    <w:lvl w:ilvl="0" w:tplc="199E1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C95F3D"/>
    <w:multiLevelType w:val="hybridMultilevel"/>
    <w:tmpl w:val="09FA3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93327"/>
    <w:multiLevelType w:val="hybridMultilevel"/>
    <w:tmpl w:val="3CD042F8"/>
    <w:lvl w:ilvl="0" w:tplc="5A8296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04271"/>
    <w:multiLevelType w:val="multilevel"/>
    <w:tmpl w:val="502A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D810FF"/>
    <w:multiLevelType w:val="multilevel"/>
    <w:tmpl w:val="80FCB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E891035"/>
    <w:multiLevelType w:val="hybridMultilevel"/>
    <w:tmpl w:val="84FEADF4"/>
    <w:lvl w:ilvl="0" w:tplc="7638A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6"/>
  </w:num>
  <w:num w:numId="5">
    <w:abstractNumId w:val="19"/>
  </w:num>
  <w:num w:numId="6">
    <w:abstractNumId w:val="4"/>
  </w:num>
  <w:num w:numId="7">
    <w:abstractNumId w:val="41"/>
  </w:num>
  <w:num w:numId="8">
    <w:abstractNumId w:val="32"/>
  </w:num>
  <w:num w:numId="9">
    <w:abstractNumId w:val="26"/>
  </w:num>
  <w:num w:numId="10">
    <w:abstractNumId w:val="20"/>
  </w:num>
  <w:num w:numId="11">
    <w:abstractNumId w:val="7"/>
  </w:num>
  <w:num w:numId="12">
    <w:abstractNumId w:val="13"/>
  </w:num>
  <w:num w:numId="13">
    <w:abstractNumId w:val="22"/>
  </w:num>
  <w:num w:numId="14">
    <w:abstractNumId w:val="34"/>
  </w:num>
  <w:num w:numId="15">
    <w:abstractNumId w:val="5"/>
  </w:num>
  <w:num w:numId="16">
    <w:abstractNumId w:val="1"/>
  </w:num>
  <w:num w:numId="17">
    <w:abstractNumId w:val="38"/>
  </w:num>
  <w:num w:numId="18">
    <w:abstractNumId w:val="36"/>
  </w:num>
  <w:num w:numId="19">
    <w:abstractNumId w:val="2"/>
  </w:num>
  <w:num w:numId="20">
    <w:abstractNumId w:val="25"/>
  </w:num>
  <w:num w:numId="21">
    <w:abstractNumId w:val="9"/>
  </w:num>
  <w:num w:numId="22">
    <w:abstractNumId w:val="16"/>
  </w:num>
  <w:num w:numId="23">
    <w:abstractNumId w:val="0"/>
  </w:num>
  <w:num w:numId="24">
    <w:abstractNumId w:val="28"/>
  </w:num>
  <w:num w:numId="25">
    <w:abstractNumId w:val="33"/>
  </w:num>
  <w:num w:numId="26">
    <w:abstractNumId w:val="3"/>
  </w:num>
  <w:num w:numId="27">
    <w:abstractNumId w:val="11"/>
  </w:num>
  <w:num w:numId="28">
    <w:abstractNumId w:val="30"/>
  </w:num>
  <w:num w:numId="29">
    <w:abstractNumId w:val="24"/>
  </w:num>
  <w:num w:numId="30">
    <w:abstractNumId w:val="39"/>
  </w:num>
  <w:num w:numId="31">
    <w:abstractNumId w:val="8"/>
  </w:num>
  <w:num w:numId="32">
    <w:abstractNumId w:val="12"/>
  </w:num>
  <w:num w:numId="33">
    <w:abstractNumId w:val="23"/>
  </w:num>
  <w:num w:numId="34">
    <w:abstractNumId w:val="14"/>
  </w:num>
  <w:num w:numId="35">
    <w:abstractNumId w:val="27"/>
  </w:num>
  <w:num w:numId="36">
    <w:abstractNumId w:val="18"/>
  </w:num>
  <w:num w:numId="37">
    <w:abstractNumId w:val="35"/>
  </w:num>
  <w:num w:numId="38">
    <w:abstractNumId w:val="31"/>
  </w:num>
  <w:num w:numId="39">
    <w:abstractNumId w:val="37"/>
  </w:num>
  <w:num w:numId="40">
    <w:abstractNumId w:val="10"/>
  </w:num>
  <w:num w:numId="41">
    <w:abstractNumId w:val="4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0755B"/>
    <w:rsid w:val="0001033D"/>
    <w:rsid w:val="000118B1"/>
    <w:rsid w:val="00014BEC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005D"/>
    <w:rsid w:val="00072141"/>
    <w:rsid w:val="00076C94"/>
    <w:rsid w:val="00080258"/>
    <w:rsid w:val="00082BC3"/>
    <w:rsid w:val="00083A07"/>
    <w:rsid w:val="00084948"/>
    <w:rsid w:val="000919D6"/>
    <w:rsid w:val="00094E6F"/>
    <w:rsid w:val="000A0543"/>
    <w:rsid w:val="000A1D0D"/>
    <w:rsid w:val="000A4287"/>
    <w:rsid w:val="000A4397"/>
    <w:rsid w:val="000B745B"/>
    <w:rsid w:val="000C5759"/>
    <w:rsid w:val="000C7555"/>
    <w:rsid w:val="000C7DB8"/>
    <w:rsid w:val="000D764C"/>
    <w:rsid w:val="000E12B3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73C"/>
    <w:rsid w:val="00193A26"/>
    <w:rsid w:val="001A0E6E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14221"/>
    <w:rsid w:val="002272AA"/>
    <w:rsid w:val="00230930"/>
    <w:rsid w:val="002312DF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CCD"/>
    <w:rsid w:val="00281DFC"/>
    <w:rsid w:val="0028720C"/>
    <w:rsid w:val="002903FB"/>
    <w:rsid w:val="00296056"/>
    <w:rsid w:val="002A29EE"/>
    <w:rsid w:val="002A318E"/>
    <w:rsid w:val="002B2C96"/>
    <w:rsid w:val="002D1AFC"/>
    <w:rsid w:val="002D3EA7"/>
    <w:rsid w:val="002D457E"/>
    <w:rsid w:val="002E1A84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2BB1"/>
    <w:rsid w:val="00345DBF"/>
    <w:rsid w:val="00351B94"/>
    <w:rsid w:val="0036667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AF3"/>
    <w:rsid w:val="003F315D"/>
    <w:rsid w:val="00413C04"/>
    <w:rsid w:val="0041452B"/>
    <w:rsid w:val="00416CC1"/>
    <w:rsid w:val="00421357"/>
    <w:rsid w:val="00425911"/>
    <w:rsid w:val="00431E65"/>
    <w:rsid w:val="004327A3"/>
    <w:rsid w:val="0044695A"/>
    <w:rsid w:val="004512E5"/>
    <w:rsid w:val="00457FB7"/>
    <w:rsid w:val="00461BE6"/>
    <w:rsid w:val="004620A0"/>
    <w:rsid w:val="00464737"/>
    <w:rsid w:val="0047656A"/>
    <w:rsid w:val="00480476"/>
    <w:rsid w:val="00491D24"/>
    <w:rsid w:val="0049271E"/>
    <w:rsid w:val="00495144"/>
    <w:rsid w:val="004A055F"/>
    <w:rsid w:val="004A30A1"/>
    <w:rsid w:val="004A418D"/>
    <w:rsid w:val="004B1D24"/>
    <w:rsid w:val="004C10D1"/>
    <w:rsid w:val="004C1175"/>
    <w:rsid w:val="004C1F58"/>
    <w:rsid w:val="004C36DB"/>
    <w:rsid w:val="004D131A"/>
    <w:rsid w:val="004D31EC"/>
    <w:rsid w:val="004E2AE5"/>
    <w:rsid w:val="004E5966"/>
    <w:rsid w:val="004F1261"/>
    <w:rsid w:val="0050641D"/>
    <w:rsid w:val="00510CF9"/>
    <w:rsid w:val="0053125F"/>
    <w:rsid w:val="00531BE3"/>
    <w:rsid w:val="00531C3D"/>
    <w:rsid w:val="005369D7"/>
    <w:rsid w:val="00544072"/>
    <w:rsid w:val="00550AFC"/>
    <w:rsid w:val="00555F51"/>
    <w:rsid w:val="005565AC"/>
    <w:rsid w:val="0056250D"/>
    <w:rsid w:val="00564E3C"/>
    <w:rsid w:val="00575727"/>
    <w:rsid w:val="005773F7"/>
    <w:rsid w:val="005826E6"/>
    <w:rsid w:val="005845F6"/>
    <w:rsid w:val="0058734A"/>
    <w:rsid w:val="0059649C"/>
    <w:rsid w:val="005975EA"/>
    <w:rsid w:val="005A2AEF"/>
    <w:rsid w:val="005A3343"/>
    <w:rsid w:val="005B4A7B"/>
    <w:rsid w:val="005B6573"/>
    <w:rsid w:val="005B6E40"/>
    <w:rsid w:val="005C47E6"/>
    <w:rsid w:val="005E44FA"/>
    <w:rsid w:val="005F33CC"/>
    <w:rsid w:val="005F575E"/>
    <w:rsid w:val="006005B6"/>
    <w:rsid w:val="00601986"/>
    <w:rsid w:val="00602B50"/>
    <w:rsid w:val="00603771"/>
    <w:rsid w:val="006123C0"/>
    <w:rsid w:val="0062578D"/>
    <w:rsid w:val="00630891"/>
    <w:rsid w:val="00634396"/>
    <w:rsid w:val="0065144E"/>
    <w:rsid w:val="006532E9"/>
    <w:rsid w:val="0065719B"/>
    <w:rsid w:val="00657800"/>
    <w:rsid w:val="0066230E"/>
    <w:rsid w:val="00666BE5"/>
    <w:rsid w:val="00671A91"/>
    <w:rsid w:val="00676800"/>
    <w:rsid w:val="0068293A"/>
    <w:rsid w:val="00690BCC"/>
    <w:rsid w:val="0069467B"/>
    <w:rsid w:val="00694C41"/>
    <w:rsid w:val="006A18AF"/>
    <w:rsid w:val="006A3ADE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E86"/>
    <w:rsid w:val="007513D2"/>
    <w:rsid w:val="007541F8"/>
    <w:rsid w:val="007610AB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B6CB9"/>
    <w:rsid w:val="007C587E"/>
    <w:rsid w:val="007C73EB"/>
    <w:rsid w:val="007D19D3"/>
    <w:rsid w:val="007D4353"/>
    <w:rsid w:val="007D7081"/>
    <w:rsid w:val="007E4A2A"/>
    <w:rsid w:val="007E5374"/>
    <w:rsid w:val="007F7EF8"/>
    <w:rsid w:val="00801AE3"/>
    <w:rsid w:val="00803598"/>
    <w:rsid w:val="00807F0F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9095B"/>
    <w:rsid w:val="00890A56"/>
    <w:rsid w:val="00893F37"/>
    <w:rsid w:val="008A0BCB"/>
    <w:rsid w:val="008A0CB2"/>
    <w:rsid w:val="008D08A8"/>
    <w:rsid w:val="008D2433"/>
    <w:rsid w:val="008D5CEB"/>
    <w:rsid w:val="008E3483"/>
    <w:rsid w:val="008E5209"/>
    <w:rsid w:val="008F0494"/>
    <w:rsid w:val="008F1D6E"/>
    <w:rsid w:val="0091170D"/>
    <w:rsid w:val="009160E1"/>
    <w:rsid w:val="0092465C"/>
    <w:rsid w:val="009263AC"/>
    <w:rsid w:val="00934890"/>
    <w:rsid w:val="009352D5"/>
    <w:rsid w:val="00950021"/>
    <w:rsid w:val="00953E0A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6FE2"/>
    <w:rsid w:val="009D58D9"/>
    <w:rsid w:val="009D7FB9"/>
    <w:rsid w:val="009E50E6"/>
    <w:rsid w:val="009E7DF9"/>
    <w:rsid w:val="009F12A7"/>
    <w:rsid w:val="009F257D"/>
    <w:rsid w:val="00A0130B"/>
    <w:rsid w:val="00A06B19"/>
    <w:rsid w:val="00A06C49"/>
    <w:rsid w:val="00A16C5A"/>
    <w:rsid w:val="00A3027C"/>
    <w:rsid w:val="00A30BA4"/>
    <w:rsid w:val="00A342A7"/>
    <w:rsid w:val="00A349AA"/>
    <w:rsid w:val="00A41EEE"/>
    <w:rsid w:val="00A45C63"/>
    <w:rsid w:val="00A46A7F"/>
    <w:rsid w:val="00A53DAC"/>
    <w:rsid w:val="00A564F9"/>
    <w:rsid w:val="00A609A3"/>
    <w:rsid w:val="00A62C84"/>
    <w:rsid w:val="00A631C2"/>
    <w:rsid w:val="00A65303"/>
    <w:rsid w:val="00A7110A"/>
    <w:rsid w:val="00A74CCC"/>
    <w:rsid w:val="00A7501E"/>
    <w:rsid w:val="00A82DED"/>
    <w:rsid w:val="00A84C9A"/>
    <w:rsid w:val="00A97B59"/>
    <w:rsid w:val="00AA2447"/>
    <w:rsid w:val="00AA3309"/>
    <w:rsid w:val="00AB5C90"/>
    <w:rsid w:val="00AC54AF"/>
    <w:rsid w:val="00AC620E"/>
    <w:rsid w:val="00AD0ADD"/>
    <w:rsid w:val="00AE0BD1"/>
    <w:rsid w:val="00AE4E69"/>
    <w:rsid w:val="00AE5C01"/>
    <w:rsid w:val="00AF08F9"/>
    <w:rsid w:val="00B0773D"/>
    <w:rsid w:val="00B10612"/>
    <w:rsid w:val="00B20F0E"/>
    <w:rsid w:val="00B22ADF"/>
    <w:rsid w:val="00B22D62"/>
    <w:rsid w:val="00B24DE7"/>
    <w:rsid w:val="00B3544D"/>
    <w:rsid w:val="00B35EB8"/>
    <w:rsid w:val="00B435F5"/>
    <w:rsid w:val="00B46D76"/>
    <w:rsid w:val="00B470DC"/>
    <w:rsid w:val="00B51B31"/>
    <w:rsid w:val="00B54F87"/>
    <w:rsid w:val="00B614DF"/>
    <w:rsid w:val="00B61F75"/>
    <w:rsid w:val="00B634A7"/>
    <w:rsid w:val="00B71DBF"/>
    <w:rsid w:val="00B77FBE"/>
    <w:rsid w:val="00B961EC"/>
    <w:rsid w:val="00BA1B67"/>
    <w:rsid w:val="00BA222E"/>
    <w:rsid w:val="00BA4A59"/>
    <w:rsid w:val="00BB05A3"/>
    <w:rsid w:val="00BB0885"/>
    <w:rsid w:val="00BB130C"/>
    <w:rsid w:val="00BC2055"/>
    <w:rsid w:val="00BC2B7A"/>
    <w:rsid w:val="00BC5E9C"/>
    <w:rsid w:val="00BC7E93"/>
    <w:rsid w:val="00BD577F"/>
    <w:rsid w:val="00BE1BAD"/>
    <w:rsid w:val="00BE4329"/>
    <w:rsid w:val="00BE5D01"/>
    <w:rsid w:val="00BE7166"/>
    <w:rsid w:val="00BF059F"/>
    <w:rsid w:val="00BF1C9C"/>
    <w:rsid w:val="00BF1F13"/>
    <w:rsid w:val="00BF25EA"/>
    <w:rsid w:val="00BF698D"/>
    <w:rsid w:val="00C04B92"/>
    <w:rsid w:val="00C103A7"/>
    <w:rsid w:val="00C11F5B"/>
    <w:rsid w:val="00C17070"/>
    <w:rsid w:val="00C2107C"/>
    <w:rsid w:val="00C22D74"/>
    <w:rsid w:val="00C30726"/>
    <w:rsid w:val="00C30C58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166D6"/>
    <w:rsid w:val="00D2217D"/>
    <w:rsid w:val="00D27992"/>
    <w:rsid w:val="00D31A79"/>
    <w:rsid w:val="00D33ED2"/>
    <w:rsid w:val="00D54A9B"/>
    <w:rsid w:val="00D557F6"/>
    <w:rsid w:val="00D60DB2"/>
    <w:rsid w:val="00D617BA"/>
    <w:rsid w:val="00D63AE8"/>
    <w:rsid w:val="00D71101"/>
    <w:rsid w:val="00D73FE0"/>
    <w:rsid w:val="00D77276"/>
    <w:rsid w:val="00D8309E"/>
    <w:rsid w:val="00D92DBC"/>
    <w:rsid w:val="00DA1D55"/>
    <w:rsid w:val="00DA6B5F"/>
    <w:rsid w:val="00DA6D7B"/>
    <w:rsid w:val="00DB29CD"/>
    <w:rsid w:val="00DB7D6F"/>
    <w:rsid w:val="00DD03C5"/>
    <w:rsid w:val="00DD1B80"/>
    <w:rsid w:val="00DD2500"/>
    <w:rsid w:val="00DE333B"/>
    <w:rsid w:val="00DE3EC0"/>
    <w:rsid w:val="00DE4976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56DC2"/>
    <w:rsid w:val="00E66462"/>
    <w:rsid w:val="00E74948"/>
    <w:rsid w:val="00E75808"/>
    <w:rsid w:val="00E85EDC"/>
    <w:rsid w:val="00E91A09"/>
    <w:rsid w:val="00E95051"/>
    <w:rsid w:val="00EA4287"/>
    <w:rsid w:val="00EB04D1"/>
    <w:rsid w:val="00EB345E"/>
    <w:rsid w:val="00EC21F6"/>
    <w:rsid w:val="00EC3814"/>
    <w:rsid w:val="00EC63B6"/>
    <w:rsid w:val="00ED0FAB"/>
    <w:rsid w:val="00ED2843"/>
    <w:rsid w:val="00EE32E3"/>
    <w:rsid w:val="00EE3EE9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3DDE"/>
    <w:rsid w:val="00F46C22"/>
    <w:rsid w:val="00F47413"/>
    <w:rsid w:val="00F51A08"/>
    <w:rsid w:val="00F75E9D"/>
    <w:rsid w:val="00F76077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F2D974"/>
  <w15:docId w15:val="{A5DADAE1-C815-4861-97CD-2FFD412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4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22D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D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D6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D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D62"/>
    <w:rPr>
      <w:b/>
      <w:bCs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422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142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2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_plan@inea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E011-8B1B-4FFA-94AB-873DE2FD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1296</Words>
  <Characters>7129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Hauchbaum</cp:lastModifiedBy>
  <cp:revision>5</cp:revision>
  <cp:lastPrinted>2018-11-20T02:05:00Z</cp:lastPrinted>
  <dcterms:created xsi:type="dcterms:W3CDTF">2021-10-25T16:14:00Z</dcterms:created>
  <dcterms:modified xsi:type="dcterms:W3CDTF">2021-10-28T22:11:00Z</dcterms:modified>
</cp:coreProperties>
</file>